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E9D347A" w:rsidR="00093CA9" w:rsidRDefault="0088177F" w:rsidP="00093CA9">
            <w:proofErr w:type="spellStart"/>
            <w:r>
              <w:t>Blomstein</w:t>
            </w:r>
            <w:proofErr w:type="spellEnd"/>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5091F3C3" w:rsidR="00093CA9" w:rsidRDefault="006840CD" w:rsidP="00093CA9">
            <w:r>
              <w:t>EU</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BAF0BA7" w:rsidR="00093CA9" w:rsidRDefault="005B1EB7" w:rsidP="00093CA9">
            <w:r w:rsidRPr="005B1EB7">
              <w:t>Directive (EU) 2019/1161 amending Directive 2009/33/EC on the promotion of clean and energy-efficient road transport vehicles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35BE8E36" w:rsidR="00093CA9" w:rsidRDefault="006F4281" w:rsidP="00093CA9">
            <w:hyperlink r:id="rId17" w:history="1">
              <w:r w:rsidRPr="00373DB8">
                <w:rPr>
                  <w:rStyle w:val="Hyperlink"/>
                </w:rPr>
                <w:t>https://web.archive.org/web/20250724141609/https://eur-lex.europa.eu/eli/dir/2019/1161/oj/eng</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37C98B62"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13D95AA5" w:rsidR="00093CA9" w:rsidRDefault="005D1868" w:rsidP="00093CA9">
            <w:r>
              <w:t>X</w:t>
            </w:r>
          </w:p>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225D486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1477176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57175DB5" w14:textId="60DAC1F4" w:rsidR="002E13C8" w:rsidRDefault="00FB59BB" w:rsidP="00093CA9">
            <w:r w:rsidRPr="00FB59BB">
              <w:t>Directive (EU) 2019/1161,</w:t>
            </w:r>
            <w:r w:rsidR="002E13C8">
              <w:t xml:space="preserve"> </w:t>
            </w:r>
            <w:r w:rsidR="002E13C8" w:rsidRPr="002E13C8">
              <w:t>commonly known as the Clean Vehicles Directive</w:t>
            </w:r>
            <w:r w:rsidR="002E13C8">
              <w:t xml:space="preserve">, </w:t>
            </w:r>
            <w:r w:rsidR="002E13C8" w:rsidRPr="002E13C8">
              <w:t xml:space="preserve">is a public procurement instrument aimed at promoting </w:t>
            </w:r>
            <w:r w:rsidR="009D03BD" w:rsidRPr="009D03BD">
              <w:t>the market uptake of clean and energy-efficient road transport vehicles and thereby contribute to the EU’s climate, energy, and environmental policy objectives.</w:t>
            </w:r>
            <w:r w:rsidR="009D03BD">
              <w:t xml:space="preserve"> Specifically:</w:t>
            </w:r>
          </w:p>
          <w:p w14:paraId="615759F4" w14:textId="06A03948" w:rsidR="009D03BD" w:rsidRDefault="00E2342F" w:rsidP="00093CA9">
            <w:r>
              <w:t xml:space="preserve">- </w:t>
            </w:r>
            <w:r w:rsidRPr="00E2342F">
              <w:t>Requires Member States to ensure that contracting authorities and contracting entities consider lifetime environmental impacts when procuring road vehicles (Art</w:t>
            </w:r>
            <w:r>
              <w:t>icle</w:t>
            </w:r>
            <w:r w:rsidRPr="00E2342F">
              <w:t xml:space="preserve"> 1</w:t>
            </w:r>
            <w:proofErr w:type="gramStart"/>
            <w:r w:rsidRPr="00E2342F">
              <w:t>)</w:t>
            </w:r>
            <w:r>
              <w:t>;</w:t>
            </w:r>
            <w:proofErr w:type="gramEnd"/>
          </w:p>
          <w:p w14:paraId="35223A1E" w14:textId="617B5158" w:rsidR="00E2342F" w:rsidRDefault="00E2342F" w:rsidP="00093CA9">
            <w:r>
              <w:t xml:space="preserve">- </w:t>
            </w:r>
            <w:r w:rsidRPr="00E2342F">
              <w:t>Establishes binding minimum procurement targets for clean vehicles for two reference periods: 2021</w:t>
            </w:r>
            <w:r>
              <w:t>-</w:t>
            </w:r>
            <w:r w:rsidRPr="00E2342F">
              <w:t>2025 and 2026</w:t>
            </w:r>
            <w:r>
              <w:t>-</w:t>
            </w:r>
            <w:r w:rsidRPr="00E2342F">
              <w:t>2030 (Art</w:t>
            </w:r>
            <w:r>
              <w:t>icle</w:t>
            </w:r>
            <w:r w:rsidRPr="00E2342F">
              <w:t xml:space="preserve"> 5</w:t>
            </w:r>
            <w:r>
              <w:t>,</w:t>
            </w:r>
            <w:r w:rsidRPr="00E2342F">
              <w:t xml:space="preserve"> Annex Tables 3 &amp; 4</w:t>
            </w:r>
            <w:proofErr w:type="gramStart"/>
            <w:r w:rsidRPr="00E2342F">
              <w:t>)</w:t>
            </w:r>
            <w:r>
              <w:t>;</w:t>
            </w:r>
            <w:proofErr w:type="gramEnd"/>
          </w:p>
          <w:p w14:paraId="1540C3DB" w14:textId="35166F48" w:rsidR="00E2342F" w:rsidRDefault="00E2342F" w:rsidP="00093CA9">
            <w:r>
              <w:t xml:space="preserve">- </w:t>
            </w:r>
            <w:r w:rsidRPr="00E2342F">
              <w:t>Supports the decarbonisation of transport, particularly in urban areas, and the improvement of air quality (Recitals 2, 5, 15</w:t>
            </w:r>
            <w:r>
              <w:t xml:space="preserve"> and</w:t>
            </w:r>
            <w:r w:rsidRPr="00E2342F">
              <w:t xml:space="preserve"> 18).</w:t>
            </w:r>
          </w:p>
          <w:p w14:paraId="18257824" w14:textId="1165C86E" w:rsidR="00093CA9" w:rsidRDefault="002E13C8" w:rsidP="00093CA9">
            <w:r w:rsidRPr="002E13C8">
              <w:t xml:space="preserve">Applicable to the purchase, lease, rental and service contracts involving vehicles (e.g. public transport, refuse collection, mail delivery), the Directive defines “clean vehicles” based on CO₂ and pollutant emission thresholds or the use of alternative fuels.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7135CD7F" w:rsidR="00093CA9" w:rsidRDefault="00EC6BF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3731AE8E" w:rsidR="00093CA9" w:rsidRPr="00173D7C" w:rsidRDefault="00862972"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4F670919" w:rsidR="00093CA9" w:rsidRPr="00173D7C" w:rsidRDefault="00862972"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23E73122" w:rsidR="00093CA9" w:rsidRDefault="00D5005B" w:rsidP="00093CA9">
            <w:r>
              <w:t>T</w:t>
            </w:r>
            <w:r w:rsidRPr="00D5005B">
              <w:t>he European Parliament and the Council of the European Union.</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F78278E" w:rsidR="00093CA9" w:rsidRPr="006B7B0D" w:rsidRDefault="00D5005B" w:rsidP="00093CA9">
            <w:r>
              <w:t>European Commission</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5D231BA" w:rsidR="00093CA9" w:rsidRPr="006B7B0D" w:rsidRDefault="00D5005B"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267008F0" w:rsidR="00093CA9" w:rsidRDefault="00FB7E96"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3E46EB81" w14:textId="77777777" w:rsidR="00093CA9" w:rsidRDefault="005845B5" w:rsidP="005845B5">
            <w:pPr>
              <w:keepNext/>
              <w:rPr>
                <w:color w:val="000000" w:themeColor="text1"/>
              </w:rPr>
            </w:pPr>
            <w:r>
              <w:rPr>
                <w:color w:val="000000" w:themeColor="text1"/>
              </w:rPr>
              <w:t xml:space="preserve">- </w:t>
            </w:r>
            <w:r w:rsidRPr="005845B5">
              <w:rPr>
                <w:color w:val="000000" w:themeColor="text1"/>
              </w:rPr>
              <w:t>Member States must submit implementation reports to the Commission every three years, starting from 18 April 2026, containing:</w:t>
            </w:r>
            <w:r>
              <w:rPr>
                <w:color w:val="000000" w:themeColor="text1"/>
              </w:rPr>
              <w:t xml:space="preserve"> m</w:t>
            </w:r>
            <w:r w:rsidRPr="005845B5">
              <w:rPr>
                <w:color w:val="000000" w:themeColor="text1"/>
              </w:rPr>
              <w:t>easures taken</w:t>
            </w:r>
            <w:r>
              <w:rPr>
                <w:color w:val="000000" w:themeColor="text1"/>
              </w:rPr>
              <w:t>; f</w:t>
            </w:r>
            <w:r w:rsidRPr="005845B5">
              <w:rPr>
                <w:color w:val="000000" w:themeColor="text1"/>
              </w:rPr>
              <w:t>uture implementation plans</w:t>
            </w:r>
            <w:r>
              <w:rPr>
                <w:color w:val="000000" w:themeColor="text1"/>
              </w:rPr>
              <w:t>; n</w:t>
            </w:r>
            <w:r w:rsidRPr="005845B5">
              <w:rPr>
                <w:color w:val="000000" w:themeColor="text1"/>
              </w:rPr>
              <w:t>umber and categories of vehicles procured under Article 3(1).</w:t>
            </w:r>
          </w:p>
          <w:p w14:paraId="03254887" w14:textId="77777777" w:rsidR="007C67EA" w:rsidRDefault="007C67EA" w:rsidP="005845B5">
            <w:pPr>
              <w:keepNext/>
              <w:rPr>
                <w:color w:val="000000" w:themeColor="text1"/>
              </w:rPr>
            </w:pPr>
            <w:r>
              <w:rPr>
                <w:color w:val="000000" w:themeColor="text1"/>
              </w:rPr>
              <w:t xml:space="preserve">- </w:t>
            </w:r>
            <w:r w:rsidR="00CD0DEB" w:rsidRPr="00CD0DEB">
              <w:rPr>
                <w:color w:val="000000" w:themeColor="text1"/>
              </w:rPr>
              <w:t>The Commission must extract and publish relevant procurement data from contract award notices on the Tenders Electronic Daily (TED) database</w:t>
            </w:r>
            <w:r w:rsidR="00CD0DEB">
              <w:rPr>
                <w:color w:val="000000" w:themeColor="text1"/>
              </w:rPr>
              <w:t xml:space="preserve"> (Article 10(3))</w:t>
            </w:r>
            <w:r w:rsidR="00CD0DEB" w:rsidRPr="00CD0DEB">
              <w:rPr>
                <w:color w:val="000000" w:themeColor="text1"/>
              </w:rPr>
              <w:t>.</w:t>
            </w:r>
          </w:p>
          <w:p w14:paraId="6EF0D434" w14:textId="77777777" w:rsidR="00CD0DEB" w:rsidRDefault="00C437E9" w:rsidP="005845B5">
            <w:pPr>
              <w:keepNext/>
              <w:rPr>
                <w:color w:val="000000" w:themeColor="text1"/>
              </w:rPr>
            </w:pPr>
            <w:r>
              <w:rPr>
                <w:color w:val="000000" w:themeColor="text1"/>
              </w:rPr>
              <w:t xml:space="preserve">- </w:t>
            </w:r>
            <w:r w:rsidRPr="00C437E9">
              <w:rPr>
                <w:color w:val="000000" w:themeColor="text1"/>
              </w:rPr>
              <w:t>Based on Member State reports, the Commission must report to the European Parliament and Council every three years, starting 18 April 2027</w:t>
            </w:r>
            <w:r w:rsidR="00B3656C">
              <w:rPr>
                <w:color w:val="000000" w:themeColor="text1"/>
              </w:rPr>
              <w:t xml:space="preserve"> (Article 10(4))</w:t>
            </w:r>
            <w:r w:rsidRPr="00C437E9">
              <w:rPr>
                <w:color w:val="000000" w:themeColor="text1"/>
              </w:rPr>
              <w:t>.</w:t>
            </w:r>
          </w:p>
          <w:p w14:paraId="2C2128DB" w14:textId="51EFF1B4" w:rsidR="00060533" w:rsidRPr="008017F9" w:rsidRDefault="00060533" w:rsidP="005845B5">
            <w:pPr>
              <w:keepNext/>
              <w:rPr>
                <w:color w:val="000000" w:themeColor="text1"/>
              </w:rPr>
            </w:pPr>
            <w:r>
              <w:rPr>
                <w:color w:val="000000" w:themeColor="text1"/>
              </w:rPr>
              <w:t xml:space="preserve">- </w:t>
            </w:r>
            <w:r w:rsidRPr="00060533">
              <w:rPr>
                <w:color w:val="000000" w:themeColor="text1"/>
              </w:rPr>
              <w:t>The Commission is empowered to adopt implementing acts specifying the format and transmission arrangements of Member State reports</w:t>
            </w:r>
            <w:r w:rsidR="00501101">
              <w:rPr>
                <w:color w:val="000000" w:themeColor="text1"/>
              </w:rPr>
              <w:t xml:space="preserve"> (Article 10(6)).</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88177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88177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1A751B0D" w:rsidR="00D4323A" w:rsidRPr="00610F28" w:rsidRDefault="00EA376B"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022B8D00"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5BCCED99" w:rsidR="00D4323A" w:rsidRPr="00610F28" w:rsidRDefault="007C2783"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5FC3F40E" w:rsidR="00D4323A" w:rsidRPr="00610F28" w:rsidRDefault="007C2783"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B769606"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0F665553" w:rsidR="00D4323A" w:rsidRPr="00610F28" w:rsidRDefault="007C2783"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63E40F6A" w:rsidR="00D4323A" w:rsidRPr="00610F28" w:rsidRDefault="007C2783"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3F30538A"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3C019C8A"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24DF37F2"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22720247"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0ACE1C96" w:rsidR="00D4323A" w:rsidRPr="00610F28" w:rsidRDefault="007C2783" w:rsidP="00610F28">
            <w:pPr>
              <w:rPr>
                <w:rFonts w:ascii="Calibri" w:hAnsi="Calibri" w:cs="Calibri"/>
              </w:rPr>
            </w:pPr>
            <w:r>
              <w:rPr>
                <w:rFonts w:ascii="Calibri" w:hAnsi="Calibri" w:cs="Calibri"/>
              </w:rPr>
              <w:t>X</w:t>
            </w: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202B6236" w:rsidR="00D4323A" w:rsidRPr="00610F28" w:rsidRDefault="007C2783" w:rsidP="00610F28">
            <w:pPr>
              <w:rPr>
                <w:rFonts w:ascii="Calibri" w:hAnsi="Calibri" w:cs="Calibri"/>
              </w:rPr>
            </w:pPr>
            <w:r>
              <w:rPr>
                <w:rFonts w:ascii="Calibri" w:hAnsi="Calibri" w:cs="Calibri"/>
              </w:rPr>
              <w:t>X</w:t>
            </w: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4E23A5A1" w:rsidR="00C66EE0" w:rsidRPr="00610F28" w:rsidRDefault="00353665"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4895F525" w:rsidR="00C66EE0" w:rsidRPr="00610F28" w:rsidRDefault="00353665"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3BEA563F" w:rsidR="00C66EE0" w:rsidRPr="00610F28" w:rsidRDefault="00353665"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15267C23" w:rsidR="00C66EE0" w:rsidRPr="00610F28" w:rsidRDefault="00C66EE0" w:rsidP="00610F28">
            <w:pPr>
              <w:rPr>
                <w:rFonts w:ascii="Calibri" w:hAnsi="Calibri" w:cs="Calibri"/>
              </w:rPr>
            </w:pPr>
          </w:p>
        </w:tc>
        <w:tc>
          <w:tcPr>
            <w:tcW w:w="1740" w:type="dxa"/>
            <w:vAlign w:val="center"/>
          </w:tcPr>
          <w:p w14:paraId="6107AB24" w14:textId="00751473"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35122BC9"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20C4B2F5"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0D366F9E" w:rsidR="00C66EE0" w:rsidRPr="00610F28" w:rsidRDefault="00353665"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269E2911" w:rsidR="00C66EE0" w:rsidRPr="00610F28" w:rsidRDefault="00B119AC"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1C9A27E1"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60F89247" w:rsidR="00C66EE0" w:rsidRPr="00610F28" w:rsidRDefault="00B119AC"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3B10A471" w:rsidR="00C66EE0" w:rsidRPr="00610F28" w:rsidRDefault="00B119AC"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088161C4" w:rsidR="00C66EE0" w:rsidRPr="00610F28" w:rsidRDefault="00B119AC"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66904017" w:rsidR="00C66EE0" w:rsidRPr="00610F28" w:rsidRDefault="00B119AC"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46F7B2C8" w:rsidR="00C66EE0" w:rsidRPr="00610F28" w:rsidRDefault="00B119AC"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2792893C"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3BA78FD3"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26456101"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4EA7248D"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D32101B" w:rsidR="00C66EE0" w:rsidRPr="00610F28" w:rsidRDefault="00B119AC"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04A0E8AD"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2C0AFAE8" w:rsidR="00C66EE0" w:rsidRPr="00610F28" w:rsidRDefault="00B119AC"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3C4869C0" w:rsidR="00C66EE0" w:rsidRPr="00610F28" w:rsidRDefault="00B119AC"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410DD1ED" w:rsidR="00C66EE0" w:rsidRPr="00610F28" w:rsidRDefault="00B119AC" w:rsidP="00610F28">
            <w:pPr>
              <w:rPr>
                <w:rFonts w:ascii="Calibri" w:hAnsi="Calibri" w:cs="Calibri"/>
              </w:rPr>
            </w:pPr>
            <w:r>
              <w:rPr>
                <w:rFonts w:ascii="Calibri" w:hAnsi="Calibri" w:cs="Calibri"/>
              </w:rPr>
              <w:t>X</w:t>
            </w: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66F6DCD7" w14:textId="77777777" w:rsidR="007B4D3A" w:rsidRDefault="0098738F" w:rsidP="0098738F">
            <w:pPr>
              <w:rPr>
                <w:rFonts w:ascii="Calibri" w:hAnsi="Calibri" w:cs="Calibri"/>
              </w:rPr>
            </w:pPr>
            <w:r>
              <w:rPr>
                <w:rFonts w:ascii="Calibri" w:hAnsi="Calibri" w:cs="Calibri"/>
              </w:rPr>
              <w:t>This policy tool</w:t>
            </w:r>
            <w:r w:rsidRPr="0098738F">
              <w:rPr>
                <w:rFonts w:ascii="Calibri" w:hAnsi="Calibri" w:cs="Calibri"/>
              </w:rPr>
              <w:t xml:space="preserve"> explicitly applies to several vehicle-based service sectors that do not neatly fit within the standard economic sector classifications</w:t>
            </w:r>
            <w:r w:rsidR="007B4D3A">
              <w:rPr>
                <w:rFonts w:ascii="Calibri" w:hAnsi="Calibri" w:cs="Calibri"/>
              </w:rPr>
              <w:t xml:space="preserve"> (</w:t>
            </w:r>
            <w:r w:rsidR="007B4D3A" w:rsidRPr="007B4D3A">
              <w:rPr>
                <w:rFonts w:ascii="Calibri" w:hAnsi="Calibri" w:cs="Calibri"/>
              </w:rPr>
              <w:t>Article 3(1)(c) and Annex</w:t>
            </w:r>
            <w:r w:rsidR="007B4D3A">
              <w:rPr>
                <w:rFonts w:ascii="Calibri" w:hAnsi="Calibri" w:cs="Calibri"/>
              </w:rPr>
              <w:t>,</w:t>
            </w:r>
            <w:r w:rsidR="007B4D3A" w:rsidRPr="007B4D3A">
              <w:rPr>
                <w:rFonts w:ascii="Calibri" w:hAnsi="Calibri" w:cs="Calibri"/>
              </w:rPr>
              <w:t xml:space="preserve"> Table 1</w:t>
            </w:r>
            <w:r w:rsidR="007B4D3A">
              <w:rPr>
                <w:rFonts w:ascii="Calibri" w:hAnsi="Calibri" w:cs="Calibri"/>
              </w:rPr>
              <w:t>)</w:t>
            </w:r>
            <w:r w:rsidRPr="0098738F">
              <w:rPr>
                <w:rFonts w:ascii="Calibri" w:hAnsi="Calibri" w:cs="Calibri"/>
              </w:rPr>
              <w:t xml:space="preserve">. </w:t>
            </w:r>
          </w:p>
          <w:p w14:paraId="5B970547" w14:textId="484DAD1C" w:rsidR="00C66EE0" w:rsidRPr="00610F28" w:rsidRDefault="0098738F" w:rsidP="0098738F">
            <w:pPr>
              <w:rPr>
                <w:rFonts w:ascii="Calibri" w:hAnsi="Calibri" w:cs="Calibri"/>
              </w:rPr>
            </w:pPr>
            <w:r w:rsidRPr="0098738F">
              <w:rPr>
                <w:rFonts w:ascii="Calibri" w:hAnsi="Calibri" w:cs="Calibri"/>
              </w:rPr>
              <w:t>These are specified via Common Procurement Vocabulary (CPV) codes in Annex Table 1 and include:</w:t>
            </w:r>
            <w:r>
              <w:rPr>
                <w:rFonts w:ascii="Calibri" w:hAnsi="Calibri" w:cs="Calibri"/>
              </w:rPr>
              <w:t xml:space="preserve"> p</w:t>
            </w:r>
            <w:r w:rsidRPr="0098738F">
              <w:rPr>
                <w:rFonts w:ascii="Calibri" w:hAnsi="Calibri" w:cs="Calibri"/>
              </w:rPr>
              <w:t>ublic road transport services (CPV 60112000-6)</w:t>
            </w:r>
            <w:r>
              <w:rPr>
                <w:rFonts w:ascii="Calibri" w:hAnsi="Calibri" w:cs="Calibri"/>
              </w:rPr>
              <w:t>; s</w:t>
            </w:r>
            <w:r w:rsidRPr="0098738F">
              <w:rPr>
                <w:rFonts w:ascii="Calibri" w:hAnsi="Calibri" w:cs="Calibri"/>
              </w:rPr>
              <w:t>pecial-purpose passenger transport services (CPV 60130000-8)</w:t>
            </w:r>
            <w:r>
              <w:rPr>
                <w:rFonts w:ascii="Calibri" w:hAnsi="Calibri" w:cs="Calibri"/>
              </w:rPr>
              <w:t>; n</w:t>
            </w:r>
            <w:r w:rsidRPr="0098738F">
              <w:rPr>
                <w:rFonts w:ascii="Calibri" w:hAnsi="Calibri" w:cs="Calibri"/>
              </w:rPr>
              <w:t>on-scheduled passenger transport (CPV 60140000-1)</w:t>
            </w:r>
            <w:r>
              <w:rPr>
                <w:rFonts w:ascii="Calibri" w:hAnsi="Calibri" w:cs="Calibri"/>
              </w:rPr>
              <w:t>; r</w:t>
            </w:r>
            <w:r w:rsidRPr="0098738F">
              <w:rPr>
                <w:rFonts w:ascii="Calibri" w:hAnsi="Calibri" w:cs="Calibri"/>
              </w:rPr>
              <w:t>efuse collection services (CPV 90511000-2)</w:t>
            </w:r>
            <w:r>
              <w:rPr>
                <w:rFonts w:ascii="Calibri" w:hAnsi="Calibri" w:cs="Calibri"/>
              </w:rPr>
              <w:t>; m</w:t>
            </w:r>
            <w:r w:rsidRPr="0098738F">
              <w:rPr>
                <w:rFonts w:ascii="Calibri" w:hAnsi="Calibri" w:cs="Calibri"/>
              </w:rPr>
              <w:t>ail and parcel transport/delivery services (CPV 60160000-7, 60161000-4, 64121100-1, 64121200-2)</w:t>
            </w:r>
            <w:r>
              <w:rPr>
                <w:rFonts w:ascii="Calibri" w:hAnsi="Calibri" w:cs="Calibri"/>
              </w:rPr>
              <w:t>.</w:t>
            </w: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37BB9E2F" w14:textId="7CAE782D" w:rsidR="002664B0" w:rsidRDefault="002664B0" w:rsidP="00610F28">
            <w:pPr>
              <w:rPr>
                <w:rFonts w:ascii="Calibri" w:hAnsi="Calibri" w:cs="Calibri"/>
              </w:rPr>
            </w:pPr>
            <w:r>
              <w:rPr>
                <w:rFonts w:ascii="Calibri" w:hAnsi="Calibri" w:cs="Calibri"/>
              </w:rPr>
              <w:t>W</w:t>
            </w:r>
            <w:r w:rsidRPr="002664B0">
              <w:rPr>
                <w:rFonts w:ascii="Calibri" w:hAnsi="Calibri" w:cs="Calibri"/>
              </w:rPr>
              <w:t>hile the Directive establishes minimum procurement targets at the Union level, the specific duties and their distribution across targeted entities can vary based on the entity’s classification under procurement law, the nature of the contract, the Member State’s internal allocation of responsibilities and whether stricter national measures are in place.</w:t>
            </w:r>
          </w:p>
          <w:p w14:paraId="7719AB93" w14:textId="563E75E8" w:rsidR="00C66EE0" w:rsidRDefault="00A21078" w:rsidP="00610F28">
            <w:pPr>
              <w:rPr>
                <w:rFonts w:ascii="Calibri" w:hAnsi="Calibri" w:cs="Calibri"/>
              </w:rPr>
            </w:pPr>
            <w:r>
              <w:rPr>
                <w:rFonts w:ascii="Calibri" w:hAnsi="Calibri" w:cs="Calibri"/>
              </w:rPr>
              <w:t xml:space="preserve">- </w:t>
            </w:r>
            <w:r w:rsidR="001F3104">
              <w:rPr>
                <w:rFonts w:ascii="Calibri" w:hAnsi="Calibri" w:cs="Calibri"/>
              </w:rPr>
              <w:t>D</w:t>
            </w:r>
            <w:r w:rsidR="001F3104" w:rsidRPr="001F3104">
              <w:rPr>
                <w:rFonts w:ascii="Calibri" w:hAnsi="Calibri" w:cs="Calibri"/>
              </w:rPr>
              <w:t xml:space="preserve">uties </w:t>
            </w:r>
            <w:r w:rsidR="006E12AA" w:rsidRPr="006E12AA">
              <w:rPr>
                <w:rFonts w:ascii="Calibri" w:hAnsi="Calibri" w:cs="Calibri"/>
              </w:rPr>
              <w:t>apply exclusively to entities that qualify as “contracting authorities” or “contracting entities” within the meaning of Directive 2014/24/EU and Directive 2014/25/EU</w:t>
            </w:r>
            <w:r w:rsidR="006E12AA">
              <w:rPr>
                <w:rFonts w:ascii="Calibri" w:hAnsi="Calibri" w:cs="Calibri"/>
              </w:rPr>
              <w:t xml:space="preserve"> (</w:t>
            </w:r>
            <w:r w:rsidR="006E12AA" w:rsidRPr="006E12AA">
              <w:rPr>
                <w:rFonts w:ascii="Calibri" w:hAnsi="Calibri" w:cs="Calibri"/>
              </w:rPr>
              <w:t>Article 4(1)</w:t>
            </w:r>
            <w:r w:rsidR="006E12AA">
              <w:rPr>
                <w:rFonts w:ascii="Calibri" w:hAnsi="Calibri" w:cs="Calibri"/>
              </w:rPr>
              <w:t>-</w:t>
            </w:r>
            <w:r w:rsidR="006E12AA" w:rsidRPr="006E12AA">
              <w:rPr>
                <w:rFonts w:ascii="Calibri" w:hAnsi="Calibri" w:cs="Calibri"/>
              </w:rPr>
              <w:lastRenderedPageBreak/>
              <w:t>(2)</w:t>
            </w:r>
            <w:r w:rsidR="006E12AA">
              <w:rPr>
                <w:rFonts w:ascii="Calibri" w:hAnsi="Calibri" w:cs="Calibri"/>
              </w:rPr>
              <w:t>)</w:t>
            </w:r>
            <w:r w:rsidR="006E12AA" w:rsidRPr="006E12AA">
              <w:rPr>
                <w:rFonts w:ascii="Calibri" w:hAnsi="Calibri" w:cs="Calibri"/>
              </w:rPr>
              <w:t>. Whether an entity is subject to the Directive depends entirely on whether it falls within these legal definitions, not on whether it is public, private, state-owned</w:t>
            </w:r>
            <w:r w:rsidR="006E12AA">
              <w:rPr>
                <w:rFonts w:ascii="Calibri" w:hAnsi="Calibri" w:cs="Calibri"/>
              </w:rPr>
              <w:t xml:space="preserve"> </w:t>
            </w:r>
            <w:r w:rsidR="006E12AA" w:rsidRPr="006E12AA">
              <w:rPr>
                <w:rFonts w:ascii="Calibri" w:hAnsi="Calibri" w:cs="Calibri"/>
              </w:rPr>
              <w:t>or not-for-profit.</w:t>
            </w:r>
          </w:p>
          <w:p w14:paraId="533D6AE9" w14:textId="2E6195B9" w:rsidR="001F3104" w:rsidRDefault="00A21078" w:rsidP="00610F28">
            <w:pPr>
              <w:rPr>
                <w:rFonts w:ascii="Calibri" w:hAnsi="Calibri" w:cs="Calibri"/>
              </w:rPr>
            </w:pPr>
            <w:r>
              <w:rPr>
                <w:rFonts w:ascii="Calibri" w:hAnsi="Calibri" w:cs="Calibri"/>
              </w:rPr>
              <w:t xml:space="preserve">- </w:t>
            </w:r>
            <w:r w:rsidR="006E12AA" w:rsidRPr="006E12AA">
              <w:rPr>
                <w:rFonts w:ascii="Calibri" w:hAnsi="Calibri" w:cs="Calibri"/>
              </w:rPr>
              <w:t>The obligations imposed by the Directive vary depending on the type of procurement procedure being carried out</w:t>
            </w:r>
            <w:r w:rsidR="006E12AA">
              <w:rPr>
                <w:rFonts w:ascii="Calibri" w:hAnsi="Calibri" w:cs="Calibri"/>
              </w:rPr>
              <w:t xml:space="preserve"> (Article 3(1)).</w:t>
            </w:r>
          </w:p>
          <w:p w14:paraId="5D90B9C5" w14:textId="7760AF60" w:rsidR="00FE5998" w:rsidRPr="00610F28" w:rsidRDefault="00A21078" w:rsidP="00610F28">
            <w:pPr>
              <w:rPr>
                <w:rFonts w:ascii="Calibri" w:hAnsi="Calibri" w:cs="Calibri"/>
              </w:rPr>
            </w:pPr>
            <w:r>
              <w:rPr>
                <w:rFonts w:ascii="Calibri" w:hAnsi="Calibri" w:cs="Calibri"/>
              </w:rPr>
              <w:t xml:space="preserve">- </w:t>
            </w:r>
            <w:r w:rsidR="00944346" w:rsidRPr="00944346">
              <w:rPr>
                <w:rFonts w:ascii="Calibri" w:hAnsi="Calibri" w:cs="Calibri"/>
              </w:rPr>
              <w:t>Duties also vary across levels of government and sectors. Recital 19 acknowledges that Member States may distribute implementation efforts among national, regional and local authorities, considering their specific circumstances</w:t>
            </w:r>
            <w:r w:rsidR="00FE5998">
              <w:rPr>
                <w:rFonts w:ascii="Calibri" w:hAnsi="Calibri" w:cs="Calibri"/>
              </w:rPr>
              <w:t xml:space="preserve">. </w:t>
            </w:r>
            <w:r w:rsidR="00FE5998" w:rsidRPr="00FE5998">
              <w:rPr>
                <w:rFonts w:ascii="Calibri" w:hAnsi="Calibri" w:cs="Calibri"/>
              </w:rPr>
              <w:t>Furthermore, Article 5(7) allows Member States to adopt more ambitious targets or stricter requirements at their discretion, which may result in additional obligations for some contracting entities depending on national implementation.</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lastRenderedPageBreak/>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88177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17461597" w14:textId="77777777" w:rsidR="00C66EE0" w:rsidRDefault="00C87692" w:rsidP="00610F28">
            <w:pPr>
              <w:rPr>
                <w:rFonts w:ascii="Calibri" w:hAnsi="Calibri" w:cs="Calibri"/>
              </w:rPr>
            </w:pPr>
            <w:r>
              <w:rPr>
                <w:rFonts w:ascii="Calibri" w:hAnsi="Calibri" w:cs="Calibri"/>
              </w:rPr>
              <w:t>This policy tool</w:t>
            </w:r>
            <w:r w:rsidRPr="00C87692">
              <w:rPr>
                <w:rFonts w:ascii="Calibri" w:hAnsi="Calibri" w:cs="Calibri"/>
              </w:rPr>
              <w:t xml:space="preserve"> does not itself specify a numerical threshold for contract value. Instead, it refers to the financial thresholds established in Directives 2014/24/EU and 2014/25/EU, which determine whether a public procurement contract is subject to EU-level rules</w:t>
            </w:r>
            <w:r>
              <w:rPr>
                <w:rFonts w:ascii="Calibri" w:hAnsi="Calibri" w:cs="Calibri"/>
              </w:rPr>
              <w:t>.</w:t>
            </w:r>
          </w:p>
          <w:p w14:paraId="74B47810" w14:textId="5E834440" w:rsidR="00F32D57" w:rsidRPr="00610F28" w:rsidRDefault="00F32D57" w:rsidP="00610F28">
            <w:pPr>
              <w:rPr>
                <w:rFonts w:ascii="Calibri" w:hAnsi="Calibri" w:cs="Calibri"/>
              </w:rPr>
            </w:pPr>
            <w:r w:rsidRPr="00F32D57">
              <w:rPr>
                <w:rFonts w:ascii="Calibri" w:hAnsi="Calibri" w:cs="Calibri"/>
              </w:rPr>
              <w:t>According to Article 3(1)(a) and (c)</w:t>
            </w:r>
            <w:r>
              <w:rPr>
                <w:rFonts w:ascii="Calibri" w:hAnsi="Calibri" w:cs="Calibri"/>
              </w:rPr>
              <w:t xml:space="preserve"> of this policy tool</w:t>
            </w:r>
            <w:r w:rsidRPr="00F32D57">
              <w:rPr>
                <w:rFonts w:ascii="Calibri" w:hAnsi="Calibri" w:cs="Calibri"/>
              </w:rPr>
              <w:t>, the obligations only apply when the contracting authority or contracting entity is required to follow the procurement procedures set out in those directives</w:t>
            </w:r>
            <w:r>
              <w:rPr>
                <w:rFonts w:ascii="Calibri" w:hAnsi="Calibri" w:cs="Calibri"/>
              </w:rPr>
              <w:t xml:space="preserve"> – </w:t>
            </w:r>
            <w:r w:rsidRPr="00F32D57">
              <w:rPr>
                <w:rFonts w:ascii="Calibri" w:hAnsi="Calibri" w:cs="Calibri"/>
              </w:rPr>
              <w:t>i.e. when the contract value exceeds the applicable thresholds laid down in Articles 4 and 15 of Directive 2014/24/EU and Articles 15 and 16 of Directive 2014/25/EU.</w:t>
            </w: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F5D0D80" w:rsidR="00C66EE0" w:rsidRPr="00610F28" w:rsidRDefault="00241B33" w:rsidP="00610F28">
            <w:pPr>
              <w:rPr>
                <w:rFonts w:ascii="Calibri" w:hAnsi="Calibri" w:cs="Calibri"/>
              </w:rPr>
            </w:pPr>
            <w:r>
              <w:rPr>
                <w:rFonts w:ascii="Calibri" w:hAnsi="Calibri" w:cs="Calibri"/>
              </w:rPr>
              <w:t>C</w:t>
            </w:r>
            <w:r w:rsidRPr="00241B33">
              <w:rPr>
                <w:rFonts w:ascii="Calibri" w:hAnsi="Calibri" w:cs="Calibri"/>
              </w:rPr>
              <w:t>ompliance is also triggered based on the nature of the contract and the status of the procuring entity</w:t>
            </w:r>
            <w:r w:rsidR="00C87692">
              <w:rPr>
                <w:rFonts w:ascii="Calibri" w:hAnsi="Calibri" w:cs="Calibri"/>
              </w:rPr>
              <w:t>.</w:t>
            </w: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lastRenderedPageBreak/>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629D21BF" w:rsidR="00C66EE0" w:rsidRPr="00610F28" w:rsidRDefault="008403C9" w:rsidP="00610F28">
            <w:pPr>
              <w:rPr>
                <w:rFonts w:ascii="Calibri" w:hAnsi="Calibri" w:cs="Calibri"/>
              </w:rPr>
            </w:pPr>
            <w:r>
              <w:rPr>
                <w:rFonts w:ascii="Calibri" w:hAnsi="Calibri" w:cs="Calibri"/>
              </w:rPr>
              <w:t>X</w:t>
            </w: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4F9380C9" w:rsidR="00C66EE0" w:rsidRPr="00610F28" w:rsidRDefault="008403C9"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lastRenderedPageBreak/>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4925068B"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2C78E45B" w:rsidR="00C66EE0" w:rsidRPr="00610F28" w:rsidRDefault="00734D50" w:rsidP="00610F28">
            <w:pPr>
              <w:rPr>
                <w:rFonts w:ascii="Calibri" w:hAnsi="Calibri" w:cs="Calibri"/>
              </w:rPr>
            </w:pPr>
            <w:r>
              <w:rPr>
                <w:rFonts w:ascii="Calibri" w:hAnsi="Calibri" w:cs="Calibri"/>
              </w:rPr>
              <w:t>X</w:t>
            </w: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3AD84D8C" w14:textId="77777777" w:rsidR="00C66EE0" w:rsidRDefault="00C70654" w:rsidP="00610F28">
            <w:pPr>
              <w:rPr>
                <w:rFonts w:ascii="Calibri" w:hAnsi="Calibri" w:cs="Calibri"/>
              </w:rPr>
            </w:pPr>
            <w:r w:rsidRPr="00C70654">
              <w:rPr>
                <w:rFonts w:ascii="Calibri" w:hAnsi="Calibri" w:cs="Calibri"/>
              </w:rPr>
              <w:t>In 2021</w:t>
            </w:r>
            <w:r>
              <w:rPr>
                <w:rFonts w:ascii="Calibri" w:hAnsi="Calibri" w:cs="Calibri"/>
              </w:rPr>
              <w:t>-</w:t>
            </w:r>
            <w:r w:rsidRPr="00C70654">
              <w:rPr>
                <w:rFonts w:ascii="Calibri" w:hAnsi="Calibri" w:cs="Calibri"/>
              </w:rPr>
              <w:t>2022, the European Commission initiated infringement proceedings against Bulgaria for failing to transpose the Directive by the deadline (2 August 2021) and for not notifying corresponding national measures</w:t>
            </w:r>
            <w:r w:rsidR="004153A7">
              <w:rPr>
                <w:rFonts w:ascii="Calibri" w:hAnsi="Calibri" w:cs="Calibri"/>
              </w:rPr>
              <w:t xml:space="preserve">. </w:t>
            </w:r>
            <w:r w:rsidR="004153A7" w:rsidRPr="004153A7">
              <w:rPr>
                <w:rFonts w:ascii="Calibri" w:hAnsi="Calibri" w:cs="Calibri"/>
              </w:rPr>
              <w:t>In 2021–2022, the European Commission initiated infringement proceedings against Bulgaria for failing to transpose the Directive by the deadline (2 August 2021) and for not notifying corresponding national measures</w:t>
            </w:r>
            <w:r w:rsidR="004153A7">
              <w:rPr>
                <w:rFonts w:ascii="Calibri" w:hAnsi="Calibri" w:cs="Calibri"/>
              </w:rPr>
              <w:t>.</w:t>
            </w:r>
          </w:p>
          <w:p w14:paraId="2B2D0494" w14:textId="3182B1A1" w:rsidR="004153A7" w:rsidRPr="00610F28" w:rsidRDefault="004153A7" w:rsidP="00610F28">
            <w:pPr>
              <w:rPr>
                <w:rFonts w:ascii="Calibri" w:hAnsi="Calibri" w:cs="Calibri"/>
              </w:rPr>
            </w:pPr>
            <w:r>
              <w:rPr>
                <w:rFonts w:ascii="Calibri" w:hAnsi="Calibri" w:cs="Calibri"/>
              </w:rPr>
              <w:t>Available at:</w:t>
            </w:r>
            <w:r w:rsidR="00370877">
              <w:rPr>
                <w:rFonts w:ascii="Calibri" w:hAnsi="Calibri" w:cs="Calibri"/>
              </w:rPr>
              <w:t xml:space="preserve"> </w:t>
            </w:r>
            <w:hyperlink r:id="rId18" w:history="1">
              <w:r w:rsidR="00A212A7" w:rsidRPr="0035094D">
                <w:rPr>
                  <w:rStyle w:val="Hyperlink"/>
                  <w:rFonts w:ascii="Calibri" w:hAnsi="Calibri" w:cs="Calibri"/>
                </w:rPr>
                <w:t>https://web.archive.org/web/20250724152330/https://curia.europa.eu/juris/document/document.jsf?cid=15434398&amp;dir=&amp;docid=296857&amp;doclang=EN&amp;mode=req&amp;occ=first%E2%88%82%3D1&amp;pageIndex=0&amp;text=</w:t>
              </w:r>
            </w:hyperlink>
            <w:r w:rsidR="00A212A7">
              <w:rPr>
                <w:rFonts w:ascii="Calibri" w:hAnsi="Calibri" w:cs="Calibri"/>
              </w:rPr>
              <w:t xml:space="preserve"> </w:t>
            </w: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FD4848F" w:rsidR="00C66EE0" w:rsidRPr="00610F28" w:rsidRDefault="00072516" w:rsidP="00610F28">
            <w:pPr>
              <w:rPr>
                <w:rFonts w:ascii="Calibri" w:hAnsi="Calibri" w:cs="Calibri"/>
              </w:rPr>
            </w:pPr>
            <w:r>
              <w:rPr>
                <w:rFonts w:ascii="Calibri" w:hAnsi="Calibri" w:cs="Calibri"/>
              </w:rPr>
              <w:t>X</w:t>
            </w: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11996418" w14:textId="262CEFBE" w:rsidR="00C66EE0" w:rsidRDefault="00085CCD" w:rsidP="00610F28">
            <w:pPr>
              <w:rPr>
                <w:rFonts w:ascii="Calibri" w:hAnsi="Calibri" w:cs="Calibri"/>
              </w:rPr>
            </w:pPr>
            <w:r>
              <w:rPr>
                <w:rFonts w:ascii="Calibri" w:hAnsi="Calibri" w:cs="Calibri"/>
              </w:rPr>
              <w:t>T</w:t>
            </w:r>
            <w:r w:rsidR="004F4CAC" w:rsidRPr="004F4CAC">
              <w:rPr>
                <w:rFonts w:ascii="Calibri" w:hAnsi="Calibri" w:cs="Calibri"/>
              </w:rPr>
              <w:t>he Directive was subject to enforcement litigation in CJEU infringement proceedings (against Bulgaria</w:t>
            </w:r>
            <w:r w:rsidR="000A118D">
              <w:rPr>
                <w:rFonts w:ascii="Calibri" w:hAnsi="Calibri" w:cs="Calibri"/>
              </w:rPr>
              <w:t xml:space="preserve"> – case </w:t>
            </w:r>
            <w:r w:rsidR="000A118D" w:rsidRPr="000A118D">
              <w:rPr>
                <w:rFonts w:ascii="Calibri" w:hAnsi="Calibri" w:cs="Calibri"/>
              </w:rPr>
              <w:t>ECLI:EU:</w:t>
            </w:r>
            <w:proofErr w:type="gramStart"/>
            <w:r w:rsidR="000A118D" w:rsidRPr="000A118D">
              <w:rPr>
                <w:rFonts w:ascii="Calibri" w:hAnsi="Calibri" w:cs="Calibri"/>
              </w:rPr>
              <w:t>C:2025:194</w:t>
            </w:r>
            <w:proofErr w:type="gramEnd"/>
            <w:r w:rsidR="004F4CAC">
              <w:rPr>
                <w:rFonts w:ascii="Calibri" w:hAnsi="Calibri" w:cs="Calibri"/>
              </w:rPr>
              <w:t>) – referred on the previous question.</w:t>
            </w:r>
          </w:p>
          <w:p w14:paraId="434C01FD" w14:textId="3783BD92" w:rsidR="00940721" w:rsidRPr="00610F28" w:rsidRDefault="00940721" w:rsidP="00610F28">
            <w:pPr>
              <w:rPr>
                <w:rFonts w:ascii="Calibri" w:hAnsi="Calibri" w:cs="Calibri"/>
              </w:rPr>
            </w:pPr>
            <w:r>
              <w:rPr>
                <w:rFonts w:ascii="Calibri" w:hAnsi="Calibri" w:cs="Calibri"/>
              </w:rPr>
              <w:t>Available at:</w:t>
            </w:r>
            <w:r w:rsidR="00085CCD">
              <w:rPr>
                <w:rFonts w:ascii="Calibri" w:hAnsi="Calibri" w:cs="Calibri"/>
              </w:rPr>
              <w:t xml:space="preserve"> </w:t>
            </w:r>
            <w:hyperlink r:id="rId19" w:history="1">
              <w:r w:rsidR="004C0FC8" w:rsidRPr="0035094D">
                <w:rPr>
                  <w:rStyle w:val="Hyperlink"/>
                  <w:rFonts w:ascii="Calibri" w:hAnsi="Calibri" w:cs="Calibri"/>
                </w:rPr>
                <w:t>https://ec.europa.eu/commission/presscorner/detail/pt/ip_23_1946</w:t>
              </w:r>
            </w:hyperlink>
            <w:r w:rsidR="004C0FC8">
              <w:rPr>
                <w:rFonts w:ascii="Calibri" w:hAnsi="Calibri" w:cs="Calibri"/>
              </w:rPr>
              <w:t xml:space="preserve"> </w:t>
            </w:r>
            <w:r w:rsidR="00370877">
              <w:rPr>
                <w:rFonts w:ascii="Calibri" w:hAnsi="Calibri" w:cs="Calibri"/>
              </w:rPr>
              <w:t>(web-archive not available)</w:t>
            </w: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lastRenderedPageBreak/>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44F47C2D" w:rsidR="00DF50B5" w:rsidRPr="00610F28" w:rsidRDefault="00922122" w:rsidP="00610F28">
            <w:pPr>
              <w:rPr>
                <w:rFonts w:ascii="Calibri" w:hAnsi="Calibri" w:cs="Calibri"/>
              </w:rPr>
            </w:pPr>
            <w:r>
              <w:rPr>
                <w:rFonts w:ascii="Calibri" w:hAnsi="Calibri" w:cs="Calibri"/>
              </w:rPr>
              <w:t>X</w:t>
            </w: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47810643" w14:textId="77777777" w:rsidR="00DF50B5" w:rsidRDefault="00577F10" w:rsidP="00610F28">
            <w:pPr>
              <w:rPr>
                <w:rFonts w:ascii="Calibri" w:hAnsi="Calibri" w:cs="Calibri"/>
              </w:rPr>
            </w:pPr>
            <w:r>
              <w:rPr>
                <w:rFonts w:ascii="Calibri" w:hAnsi="Calibri" w:cs="Calibri"/>
              </w:rPr>
              <w:t>This policy tool</w:t>
            </w:r>
            <w:r w:rsidRPr="00577F10">
              <w:rPr>
                <w:rFonts w:ascii="Calibri" w:hAnsi="Calibri" w:cs="Calibri"/>
              </w:rPr>
              <w:t xml:space="preserve"> requires alignment of public procurement spending with climate objectives at Union level, which by implication includes alignment with national and subnational climate targets insofar as they implement or go beyond Union objectives.</w:t>
            </w:r>
          </w:p>
          <w:p w14:paraId="04345F77" w14:textId="36252D20" w:rsidR="00577F10" w:rsidRPr="00610F28" w:rsidRDefault="001C7CA7" w:rsidP="00610F28">
            <w:pPr>
              <w:rPr>
                <w:rFonts w:ascii="Calibri" w:hAnsi="Calibri" w:cs="Calibri"/>
              </w:rPr>
            </w:pPr>
            <w:r>
              <w:rPr>
                <w:rFonts w:ascii="Calibri" w:hAnsi="Calibri" w:cs="Calibri"/>
              </w:rPr>
              <w:t>Articles 1 and 5(7) establish a mandatory</w:t>
            </w:r>
            <w:r w:rsidR="0091754F">
              <w:rPr>
                <w:rFonts w:ascii="Calibri" w:hAnsi="Calibri" w:cs="Calibri"/>
              </w:rPr>
              <w:t xml:space="preserve"> </w:t>
            </w:r>
            <w:r w:rsidR="0091754F" w:rsidRPr="0091754F">
              <w:rPr>
                <w:rFonts w:ascii="Calibri" w:hAnsi="Calibri" w:cs="Calibri"/>
              </w:rPr>
              <w:t>baseline (EU-wide minimum procurement targets in Annex</w:t>
            </w:r>
            <w:r w:rsidR="0091754F">
              <w:rPr>
                <w:rFonts w:ascii="Calibri" w:hAnsi="Calibri" w:cs="Calibri"/>
              </w:rPr>
              <w:t>,</w:t>
            </w:r>
            <w:r w:rsidR="0091754F" w:rsidRPr="0091754F">
              <w:rPr>
                <w:rFonts w:ascii="Calibri" w:hAnsi="Calibri" w:cs="Calibri"/>
              </w:rPr>
              <w:t xml:space="preserve"> Tables 3 and 4),</w:t>
            </w:r>
            <w:r w:rsidR="0091754F">
              <w:rPr>
                <w:rFonts w:ascii="Calibri" w:hAnsi="Calibri" w:cs="Calibri"/>
              </w:rPr>
              <w:t xml:space="preserve"> and </w:t>
            </w:r>
            <w:r w:rsidR="0091754F" w:rsidRPr="0091754F">
              <w:rPr>
                <w:rFonts w:ascii="Calibri" w:hAnsi="Calibri" w:cs="Calibri"/>
              </w:rPr>
              <w:t>explicit permission for more ambitious national/subnational climate-aligned procurement policies</w:t>
            </w:r>
            <w:r w:rsidR="0091754F">
              <w:rPr>
                <w:rFonts w:ascii="Calibri" w:hAnsi="Calibri" w:cs="Calibri"/>
              </w:rPr>
              <w:t>.</w:t>
            </w: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2E21169" w:rsidR="00DF50B5" w:rsidRPr="00610F28" w:rsidRDefault="00F742CA" w:rsidP="00610F28">
            <w:pPr>
              <w:rPr>
                <w:rFonts w:ascii="Calibri" w:hAnsi="Calibri" w:cs="Calibri"/>
              </w:rPr>
            </w:pPr>
            <w:r>
              <w:rPr>
                <w:rFonts w:ascii="Calibri" w:hAnsi="Calibri" w:cs="Calibri"/>
              </w:rPr>
              <w:t>X</w:t>
            </w: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59671596" w:rsidR="00DF50B5" w:rsidRPr="00610F28" w:rsidRDefault="00A95072"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62B3F69A" w:rsidR="00DF50B5" w:rsidRPr="00610F28" w:rsidRDefault="00A95072"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2D086D5B" w:rsidR="00DF50B5" w:rsidRPr="00610F28" w:rsidRDefault="00A95072"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757F5C1" w:rsidR="00DF50B5" w:rsidRPr="00610F28" w:rsidRDefault="00A95072"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w:t>
            </w:r>
            <w:r w:rsidRPr="00610F28">
              <w:rPr>
                <w:rStyle w:val="normaltextrun"/>
                <w:rFonts w:ascii="Calibri" w:hAnsi="Calibri" w:cs="Calibri"/>
                <w:lang w:val="en-US"/>
              </w:rPr>
              <w:lastRenderedPageBreak/>
              <w:t>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447BC1B5" w:rsidR="00DF50B5" w:rsidRPr="00610F28" w:rsidRDefault="00A95072"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5AC3195D" w:rsidR="00DF50B5" w:rsidRPr="00610F28" w:rsidRDefault="00A95072" w:rsidP="00610F28">
            <w:pPr>
              <w:rPr>
                <w:rFonts w:ascii="Calibri" w:hAnsi="Calibri" w:cs="Calibri"/>
              </w:rPr>
            </w:pPr>
            <w:r>
              <w:rPr>
                <w:rFonts w:ascii="Calibri" w:hAnsi="Calibri" w:cs="Calibri"/>
              </w:rPr>
              <w:t>X</w:t>
            </w: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71C31C6" w14:textId="2BD46C0F" w:rsidR="00A22E75" w:rsidRDefault="007B7292" w:rsidP="00610F28">
            <w:pPr>
              <w:rPr>
                <w:rFonts w:ascii="Calibri" w:hAnsi="Calibri" w:cs="Calibri"/>
              </w:rPr>
            </w:pPr>
            <w:r>
              <w:rPr>
                <w:rFonts w:ascii="Calibri" w:hAnsi="Calibri" w:cs="Calibri"/>
              </w:rPr>
              <w:t>This policy tool</w:t>
            </w:r>
            <w:r w:rsidRPr="007B7292">
              <w:rPr>
                <w:rFonts w:ascii="Calibri" w:hAnsi="Calibri" w:cs="Calibri"/>
              </w:rPr>
              <w:t xml:space="preserve"> sets vehicle-specific, climate-aligned procurement targets that do not fall under conventional criteria </w:t>
            </w:r>
            <w:r w:rsidR="00A22E75" w:rsidRPr="007B7292">
              <w:rPr>
                <w:rFonts w:ascii="Calibri" w:hAnsi="Calibri" w:cs="Calibri"/>
              </w:rPr>
              <w:t>but</w:t>
            </w:r>
            <w:r w:rsidRPr="007B7292">
              <w:rPr>
                <w:rFonts w:ascii="Calibri" w:hAnsi="Calibri" w:cs="Calibri"/>
              </w:rPr>
              <w:t xml:space="preserve"> instead mandate minimum shares of clean vehicles in total public procurement.</w:t>
            </w:r>
          </w:p>
          <w:p w14:paraId="24BCBA60" w14:textId="77777777" w:rsidR="00DF50B5" w:rsidRDefault="00C57845" w:rsidP="00610F28">
            <w:pPr>
              <w:rPr>
                <w:rFonts w:ascii="Calibri" w:hAnsi="Calibri" w:cs="Calibri"/>
              </w:rPr>
            </w:pPr>
            <w:r>
              <w:rPr>
                <w:rFonts w:ascii="Calibri" w:hAnsi="Calibri" w:cs="Calibri"/>
              </w:rPr>
              <w:t>- Article 5(1) requires Member States</w:t>
            </w:r>
            <w:r w:rsidR="00B02BA4">
              <w:rPr>
                <w:rFonts w:ascii="Calibri" w:hAnsi="Calibri" w:cs="Calibri"/>
              </w:rPr>
              <w:t xml:space="preserve"> </w:t>
            </w:r>
            <w:r w:rsidR="00B02BA4" w:rsidRPr="00B02BA4">
              <w:rPr>
                <w:rFonts w:ascii="Calibri" w:hAnsi="Calibri" w:cs="Calibri"/>
              </w:rPr>
              <w:t>to meet minimum percentages of clean light-duty and clean heavy-duty vehicles in all relevant public contracts. The targets are listed in Tables 3 and 4 of the Annex and apply for two periods:</w:t>
            </w:r>
            <w:r w:rsidR="00ED2959">
              <w:rPr>
                <w:rFonts w:ascii="Calibri" w:hAnsi="Calibri" w:cs="Calibri"/>
              </w:rPr>
              <w:t xml:space="preserve"> 2 August 2021 to 31 December 2025; and 1 January 2026 to 31 December 2030.</w:t>
            </w:r>
          </w:p>
          <w:p w14:paraId="03FCCBDE" w14:textId="71DDAAC0" w:rsidR="00ED2959" w:rsidRPr="00610F28" w:rsidRDefault="00ED2959" w:rsidP="00610F28">
            <w:pPr>
              <w:rPr>
                <w:rFonts w:ascii="Calibri" w:hAnsi="Calibri" w:cs="Calibri"/>
              </w:rPr>
            </w:pPr>
            <w:r>
              <w:rPr>
                <w:rFonts w:ascii="Calibri" w:hAnsi="Calibri" w:cs="Calibri"/>
              </w:rPr>
              <w:t xml:space="preserve">- </w:t>
            </w:r>
            <w:r w:rsidR="00B52155" w:rsidRPr="00B52155">
              <w:rPr>
                <w:rFonts w:ascii="Calibri" w:hAnsi="Calibri" w:cs="Calibri"/>
              </w:rPr>
              <w:t>For buses, half of the clean vehicle target must be met with zero-emission buses</w:t>
            </w:r>
            <w:r w:rsidR="00B52155">
              <w:rPr>
                <w:rFonts w:ascii="Calibri" w:hAnsi="Calibri" w:cs="Calibri"/>
              </w:rPr>
              <w:t>, as defined in Article 4(5).</w:t>
            </w: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6EA5DE33" w:rsidR="00DF50B5" w:rsidRPr="00610F28" w:rsidRDefault="00265B72" w:rsidP="00610F28">
            <w:pPr>
              <w:rPr>
                <w:rFonts w:ascii="Calibri" w:hAnsi="Calibri" w:cs="Calibri"/>
              </w:rPr>
            </w:pPr>
            <w:r>
              <w:rPr>
                <w:rFonts w:ascii="Calibri" w:hAnsi="Calibri" w:cs="Calibri"/>
              </w:rPr>
              <w:t>X</w:t>
            </w: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6C4A3825" w:rsidR="00DF50B5" w:rsidRPr="00610F28" w:rsidRDefault="00265B72"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658D9C0" w:rsidR="00DF50B5" w:rsidRPr="00610F28" w:rsidRDefault="00265B72"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49A693C2" w:rsidR="00DF50B5" w:rsidRPr="00610F28" w:rsidRDefault="00265B72"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167F60CE" w:rsidR="00DF50B5" w:rsidRPr="00610F28" w:rsidRDefault="00265B72"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2FB184D2" w:rsidR="00DF50B5" w:rsidRPr="00610F28" w:rsidRDefault="00265B72"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484138CA" w:rsidR="00DF50B5" w:rsidRPr="00610F28" w:rsidRDefault="00265B72" w:rsidP="00610F28">
            <w:pPr>
              <w:rPr>
                <w:rFonts w:ascii="Calibri" w:hAnsi="Calibri" w:cs="Calibri"/>
              </w:rPr>
            </w:pPr>
            <w:r>
              <w:rPr>
                <w:rFonts w:ascii="Calibri" w:hAnsi="Calibri" w:cs="Calibri"/>
              </w:rPr>
              <w:t>X</w:t>
            </w: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55A596AE" w14:textId="060D5E85" w:rsidR="00DF50B5" w:rsidRDefault="00F166C8" w:rsidP="00610F28">
            <w:pPr>
              <w:rPr>
                <w:rFonts w:ascii="Calibri" w:hAnsi="Calibri" w:cs="Calibri"/>
              </w:rPr>
            </w:pPr>
            <w:r>
              <w:rPr>
                <w:rFonts w:ascii="Calibri" w:hAnsi="Calibri" w:cs="Calibri"/>
              </w:rPr>
              <w:t xml:space="preserve">- </w:t>
            </w:r>
            <w:r w:rsidRPr="00F166C8">
              <w:rPr>
                <w:rFonts w:ascii="Calibri" w:hAnsi="Calibri" w:cs="Calibri"/>
              </w:rPr>
              <w:t>Procuring entities consider climate change mitigation and/or GHG emissions reductions goals when defining their procurement needs</w:t>
            </w:r>
          </w:p>
          <w:p w14:paraId="0D15DC56" w14:textId="7CF11A82" w:rsidR="00582A6F" w:rsidRDefault="00582A6F" w:rsidP="00610F28">
            <w:pPr>
              <w:rPr>
                <w:rFonts w:ascii="Calibri" w:hAnsi="Calibri" w:cs="Calibri"/>
              </w:rPr>
            </w:pPr>
            <w:r>
              <w:rPr>
                <w:rFonts w:ascii="Calibri" w:hAnsi="Calibri" w:cs="Calibri"/>
              </w:rPr>
              <w:t xml:space="preserve">Article 1 </w:t>
            </w:r>
            <w:r w:rsidRPr="00582A6F">
              <w:rPr>
                <w:rFonts w:ascii="Calibri" w:hAnsi="Calibri" w:cs="Calibri"/>
              </w:rPr>
              <w:t>creates a binding obligation to consider climate mitigation (specifically CO₂ and air pollutants) at the procurement planning stage, not only during contract execution.</w:t>
            </w:r>
          </w:p>
          <w:p w14:paraId="47358C16" w14:textId="77777777" w:rsidR="00F166C8" w:rsidRDefault="00F166C8" w:rsidP="00610F28">
            <w:pPr>
              <w:rPr>
                <w:rFonts w:ascii="Calibri" w:hAnsi="Calibri" w:cs="Calibri"/>
              </w:rPr>
            </w:pPr>
            <w:r>
              <w:rPr>
                <w:rFonts w:ascii="Calibri" w:hAnsi="Calibri" w:cs="Calibri"/>
              </w:rPr>
              <w:t xml:space="preserve">- </w:t>
            </w:r>
            <w:r w:rsidRPr="00F166C8">
              <w:rPr>
                <w:rFonts w:ascii="Calibri" w:hAnsi="Calibri" w:cs="Calibri"/>
              </w:rPr>
              <w:t>Other allowances, recommendations or requirements related to climate change mitigation or GHG emissions at the procurement planning stage</w:t>
            </w:r>
          </w:p>
          <w:p w14:paraId="4C63CB72" w14:textId="77777777" w:rsidR="00582A6F" w:rsidRDefault="00582A6F" w:rsidP="00610F28">
            <w:pPr>
              <w:rPr>
                <w:rFonts w:ascii="Calibri" w:hAnsi="Calibri" w:cs="Calibri"/>
              </w:rPr>
            </w:pPr>
            <w:r>
              <w:rPr>
                <w:rFonts w:ascii="Calibri" w:hAnsi="Calibri" w:cs="Calibri"/>
              </w:rPr>
              <w:t xml:space="preserve">Article 5(7) </w:t>
            </w:r>
            <w:r w:rsidRPr="00582A6F">
              <w:rPr>
                <w:rFonts w:ascii="Calibri" w:hAnsi="Calibri" w:cs="Calibri"/>
              </w:rPr>
              <w:t>allows more ambitious climate-aligned procurement planning (e.g. stricter CO₂ thresholds or higher shares of clean vehicles) if Member States so choose.</w:t>
            </w:r>
          </w:p>
          <w:p w14:paraId="02047A08" w14:textId="4F613AD9" w:rsidR="00582A6F" w:rsidRPr="00610F28" w:rsidRDefault="00582A6F" w:rsidP="00610F28">
            <w:pPr>
              <w:rPr>
                <w:rFonts w:ascii="Calibri" w:hAnsi="Calibri" w:cs="Calibri"/>
              </w:rPr>
            </w:pPr>
            <w:r>
              <w:rPr>
                <w:rFonts w:ascii="Calibri" w:hAnsi="Calibri" w:cs="Calibri"/>
              </w:rPr>
              <w:t xml:space="preserve">Also, Recital 19 </w:t>
            </w:r>
            <w:r w:rsidR="00861484" w:rsidRPr="00861484">
              <w:rPr>
                <w:rFonts w:ascii="Calibri" w:hAnsi="Calibri" w:cs="Calibri"/>
              </w:rPr>
              <w:t>encourages strategic planning of climate-related procurement obligations based on regional GHG and air quality considerations.</w:t>
            </w: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lastRenderedPageBreak/>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402E1519" w:rsidR="00A56BE5" w:rsidRPr="00971C0E" w:rsidRDefault="00167E4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0378C6A9" w:rsidR="00A56BE5" w:rsidRPr="00971C0E" w:rsidRDefault="00167E4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lastRenderedPageBreak/>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4B69F1DF" w:rsidR="00A56BE5" w:rsidRPr="00971C0E" w:rsidRDefault="00167E41"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3523C76B" w:rsidR="00D94180" w:rsidRPr="00971C0E" w:rsidRDefault="00CB708A" w:rsidP="00610F28">
            <w:pPr>
              <w:rPr>
                <w:rStyle w:val="normaltextrun"/>
                <w:rFonts w:cstheme="minorHAnsi"/>
                <w:color w:val="000000"/>
                <w:shd w:val="clear" w:color="auto" w:fill="FFFFFF"/>
                <w:lang w:val="en-US"/>
              </w:rPr>
            </w:pPr>
            <w:r w:rsidRPr="00CB708A">
              <w:rPr>
                <w:rStyle w:val="normaltextrun"/>
                <w:rFonts w:cstheme="minorHAnsi"/>
                <w:color w:val="000000"/>
                <w:shd w:val="clear" w:color="auto" w:fill="FFFFFF"/>
                <w:lang w:val="en-US"/>
              </w:rPr>
              <w:t xml:space="preserve">The Directive encourages the use of lifecycle costing to integrate climate-related impacts such as GHG emissions and energy consumption into </w:t>
            </w:r>
            <w:r w:rsidR="00DC2BCA" w:rsidRPr="00CB708A">
              <w:rPr>
                <w:rStyle w:val="normaltextrun"/>
                <w:rFonts w:cstheme="minorHAnsi"/>
                <w:color w:val="000000"/>
                <w:shd w:val="clear" w:color="auto" w:fill="FFFFFF"/>
                <w:lang w:val="en-US"/>
              </w:rPr>
              <w:t>procurement but</w:t>
            </w:r>
            <w:r w:rsidRPr="00CB708A">
              <w:rPr>
                <w:rStyle w:val="normaltextrun"/>
                <w:rFonts w:cstheme="minorHAnsi"/>
                <w:color w:val="000000"/>
                <w:shd w:val="clear" w:color="auto" w:fill="FFFFFF"/>
                <w:lang w:val="en-US"/>
              </w:rPr>
              <w:t xml:space="preserve"> does not impose a legal obligation or prescribe a specific method</w:t>
            </w:r>
            <w:r>
              <w:rPr>
                <w:rStyle w:val="normaltextrun"/>
                <w:rFonts w:cstheme="minorHAnsi"/>
                <w:color w:val="000000"/>
                <w:shd w:val="clear" w:color="auto" w:fill="FFFFFF"/>
                <w:lang w:val="en-US"/>
              </w:rPr>
              <w:t xml:space="preserve"> (</w:t>
            </w:r>
            <w:r w:rsidRPr="00CB708A">
              <w:rPr>
                <w:rStyle w:val="normaltextrun"/>
                <w:rFonts w:cstheme="minorHAnsi"/>
                <w:color w:val="000000"/>
                <w:shd w:val="clear" w:color="auto" w:fill="FFFFFF"/>
                <w:lang w:val="en-US"/>
              </w:rPr>
              <w:t>Recital 24</w:t>
            </w:r>
            <w:r>
              <w:rPr>
                <w:rStyle w:val="normaltextrun"/>
                <w:rFonts w:cstheme="minorHAnsi"/>
                <w:color w:val="000000"/>
                <w:shd w:val="clear" w:color="auto" w:fill="FFFFFF"/>
                <w:lang w:val="en-US"/>
              </w:rPr>
              <w:t>)</w:t>
            </w:r>
            <w:r w:rsidRPr="00CB708A">
              <w:rPr>
                <w:rStyle w:val="normaltextrun"/>
                <w:rFonts w:cstheme="minorHAnsi"/>
                <w:color w:val="000000"/>
                <w:shd w:val="clear" w:color="auto" w:fill="FFFFFF"/>
                <w:lang w:val="en-US"/>
              </w:rPr>
              <w:t>.</w:t>
            </w: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60340D19" w:rsidR="008A4685" w:rsidRPr="00610F28" w:rsidRDefault="00101A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47E75F68" w:rsidR="008A4685" w:rsidRPr="00610F28" w:rsidRDefault="00101A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12440521" w:rsidR="008A4685" w:rsidRPr="00610F28" w:rsidRDefault="00101AF8"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38A62B2A" w:rsidR="008A4685" w:rsidRPr="00610F28" w:rsidRDefault="00DC2BC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59D2B52F" w:rsidR="008A4685" w:rsidRPr="00610F28" w:rsidRDefault="00DC2BC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037DBE7E" w:rsidR="008A4685" w:rsidRPr="00610F28" w:rsidRDefault="00DC2BC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00F9D423" w14:textId="5853131F" w:rsidR="004557A1" w:rsidRDefault="00FB7B2B"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B7B2B">
              <w:rPr>
                <w:rStyle w:val="normaltextrun"/>
                <w:rFonts w:ascii="Calibri" w:hAnsi="Calibri" w:cs="Calibri"/>
                <w:color w:val="000000"/>
                <w:shd w:val="clear" w:color="auto" w:fill="FFFFFF"/>
                <w:lang w:val="en-US"/>
              </w:rPr>
              <w:t xml:space="preserve">Including climate or environmental considerations when calculating value for money, including </w:t>
            </w:r>
            <w:proofErr w:type="gramStart"/>
            <w:r w:rsidRPr="00FB7B2B">
              <w:rPr>
                <w:rStyle w:val="normaltextrun"/>
                <w:rFonts w:ascii="Calibri" w:hAnsi="Calibri" w:cs="Calibri"/>
                <w:color w:val="000000"/>
                <w:shd w:val="clear" w:color="auto" w:fill="FFFFFF"/>
                <w:lang w:val="en-US"/>
              </w:rPr>
              <w:t>through the use of</w:t>
            </w:r>
            <w:proofErr w:type="gramEnd"/>
            <w:r w:rsidRPr="00FB7B2B">
              <w:rPr>
                <w:rStyle w:val="normaltextrun"/>
                <w:rFonts w:ascii="Calibri" w:hAnsi="Calibri" w:cs="Calibri"/>
                <w:color w:val="000000"/>
                <w:shd w:val="clear" w:color="auto" w:fill="FFFFFF"/>
                <w:lang w:val="en-US"/>
              </w:rPr>
              <w:t xml:space="preserve"> </w:t>
            </w:r>
            <w:proofErr w:type="gramStart"/>
            <w:r w:rsidRPr="00FB7B2B">
              <w:rPr>
                <w:rStyle w:val="normaltextrun"/>
                <w:rFonts w:ascii="Calibri" w:hAnsi="Calibri" w:cs="Calibri"/>
                <w:color w:val="000000"/>
                <w:shd w:val="clear" w:color="auto" w:fill="FFFFFF"/>
                <w:lang w:val="en-US"/>
              </w:rPr>
              <w:t>life-cycle</w:t>
            </w:r>
            <w:proofErr w:type="gramEnd"/>
            <w:r w:rsidRPr="00FB7B2B">
              <w:rPr>
                <w:rStyle w:val="normaltextrun"/>
                <w:rFonts w:ascii="Calibri" w:hAnsi="Calibri" w:cs="Calibri"/>
                <w:color w:val="000000"/>
                <w:shd w:val="clear" w:color="auto" w:fill="FFFFFF"/>
                <w:lang w:val="en-US"/>
              </w:rPr>
              <w:t xml:space="preserve"> or whole-life costing</w:t>
            </w:r>
            <w:r w:rsidR="00921326">
              <w:rPr>
                <w:rStyle w:val="normaltextrun"/>
                <w:rFonts w:ascii="Calibri" w:hAnsi="Calibri" w:cs="Calibri"/>
                <w:color w:val="000000"/>
                <w:shd w:val="clear" w:color="auto" w:fill="FFFFFF"/>
                <w:lang w:val="en-US"/>
              </w:rPr>
              <w:t xml:space="preserve"> and - </w:t>
            </w:r>
            <w:r w:rsidR="00921326" w:rsidRPr="00FB7B2B">
              <w:rPr>
                <w:rStyle w:val="normaltextrun"/>
                <w:rFonts w:ascii="Calibri" w:hAnsi="Calibri" w:cs="Calibri"/>
                <w:color w:val="000000"/>
                <w:shd w:val="clear" w:color="auto" w:fill="FFFFFF"/>
                <w:lang w:val="en-US"/>
              </w:rPr>
              <w:t>Contract award criteria or value for money evaluation frameworks (e.g. minimum scores/performance levels under climate-related criteria, preferences for climate or sustainable products)</w:t>
            </w:r>
          </w:p>
          <w:p w14:paraId="7966000D" w14:textId="5E7E92A5" w:rsidR="00FB7B2B" w:rsidRDefault="002968C0"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Recital 24 encourages </w:t>
            </w:r>
            <w:r w:rsidRPr="002968C0">
              <w:rPr>
                <w:rStyle w:val="normaltextrun"/>
                <w:rFonts w:ascii="Calibri" w:hAnsi="Calibri" w:cs="Calibri"/>
                <w:color w:val="000000"/>
                <w:shd w:val="clear" w:color="auto" w:fill="FFFFFF"/>
                <w:lang w:val="en-US"/>
              </w:rPr>
              <w:t xml:space="preserve">the use of </w:t>
            </w:r>
            <w:proofErr w:type="gramStart"/>
            <w:r w:rsidRPr="002968C0">
              <w:rPr>
                <w:rStyle w:val="normaltextrun"/>
                <w:rFonts w:ascii="Calibri" w:hAnsi="Calibri" w:cs="Calibri"/>
                <w:color w:val="000000"/>
                <w:shd w:val="clear" w:color="auto" w:fill="FFFFFF"/>
                <w:lang w:val="en-US"/>
              </w:rPr>
              <w:t>life-cycle</w:t>
            </w:r>
            <w:proofErr w:type="gramEnd"/>
            <w:r w:rsidRPr="002968C0">
              <w:rPr>
                <w:rStyle w:val="normaltextrun"/>
                <w:rFonts w:ascii="Calibri" w:hAnsi="Calibri" w:cs="Calibri"/>
                <w:color w:val="000000"/>
                <w:shd w:val="clear" w:color="auto" w:fill="FFFFFF"/>
                <w:lang w:val="en-US"/>
              </w:rPr>
              <w:t xml:space="preserve"> or whole-life costing (LCC/WLC) and climate criteria in tender evaluation.</w:t>
            </w:r>
          </w:p>
          <w:p w14:paraId="212CB899" w14:textId="77777777" w:rsidR="00FB7B2B" w:rsidRDefault="00FB7B2B"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B7B2B">
              <w:rPr>
                <w:rStyle w:val="normaltextrun"/>
                <w:rFonts w:ascii="Calibri" w:hAnsi="Calibri" w:cs="Calibri"/>
                <w:color w:val="000000"/>
                <w:shd w:val="clear" w:color="auto" w:fill="FFFFFF"/>
                <w:lang w:val="en-US"/>
              </w:rPr>
              <w:t>Technical specifications (e.g. setting minimum levels of energy efficiency or maximum product carbon emissions)</w:t>
            </w:r>
          </w:p>
          <w:p w14:paraId="4480F85D" w14:textId="789E03A8" w:rsidR="00FB7B2B" w:rsidRDefault="002968C0" w:rsidP="00610F28">
            <w:pPr>
              <w:rPr>
                <w:rStyle w:val="normaltextrun"/>
                <w:rFonts w:ascii="Calibri" w:hAnsi="Calibri" w:cs="Calibri"/>
                <w:color w:val="000000"/>
                <w:shd w:val="clear" w:color="auto" w:fill="FFFFFF"/>
                <w:lang w:val="en-US"/>
              </w:rPr>
            </w:pPr>
            <w:r w:rsidRPr="002968C0">
              <w:rPr>
                <w:rStyle w:val="normaltextrun"/>
                <w:rFonts w:ascii="Calibri" w:hAnsi="Calibri" w:cs="Calibri"/>
                <w:color w:val="000000"/>
                <w:shd w:val="clear" w:color="auto" w:fill="FFFFFF"/>
                <w:lang w:val="en-US"/>
              </w:rPr>
              <w:t>Article 4(4)(</w:t>
            </w:r>
            <w:proofErr w:type="gramStart"/>
            <w:r w:rsidRPr="002968C0">
              <w:rPr>
                <w:rStyle w:val="normaltextrun"/>
                <w:rFonts w:ascii="Calibri" w:hAnsi="Calibri" w:cs="Calibri"/>
                <w:color w:val="000000"/>
                <w:shd w:val="clear" w:color="auto" w:fill="FFFFFF"/>
                <w:lang w:val="en-US"/>
              </w:rPr>
              <w:t>a)</w:t>
            </w:r>
            <w:r>
              <w:rPr>
                <w:rStyle w:val="normaltextrun"/>
                <w:rFonts w:ascii="Calibri" w:hAnsi="Calibri" w:cs="Calibri"/>
                <w:color w:val="000000"/>
                <w:shd w:val="clear" w:color="auto" w:fill="FFFFFF"/>
                <w:lang w:val="en-US"/>
              </w:rPr>
              <w:t>-</w:t>
            </w:r>
            <w:r w:rsidRPr="002968C0">
              <w:rPr>
                <w:rStyle w:val="normaltextrun"/>
                <w:rFonts w:ascii="Calibri" w:hAnsi="Calibri" w:cs="Calibri"/>
                <w:color w:val="000000"/>
                <w:shd w:val="clear" w:color="auto" w:fill="FFFFFF"/>
                <w:lang w:val="en-US"/>
              </w:rPr>
              <w:t>(</w:t>
            </w:r>
            <w:proofErr w:type="gramEnd"/>
            <w:r w:rsidRPr="002968C0">
              <w:rPr>
                <w:rStyle w:val="normaltextrun"/>
                <w:rFonts w:ascii="Calibri" w:hAnsi="Calibri" w:cs="Calibri"/>
                <w:color w:val="000000"/>
                <w:shd w:val="clear" w:color="auto" w:fill="FFFFFF"/>
                <w:lang w:val="en-US"/>
              </w:rPr>
              <w:t xml:space="preserve">b) </w:t>
            </w:r>
            <w:r>
              <w:rPr>
                <w:rStyle w:val="normaltextrun"/>
                <w:rFonts w:ascii="Calibri" w:hAnsi="Calibri" w:cs="Calibri"/>
                <w:color w:val="000000"/>
                <w:shd w:val="clear" w:color="auto" w:fill="FFFFFF"/>
                <w:lang w:val="en-US"/>
              </w:rPr>
              <w:t>and</w:t>
            </w:r>
            <w:r w:rsidRPr="002968C0">
              <w:rPr>
                <w:rStyle w:val="normaltextrun"/>
                <w:rFonts w:ascii="Calibri" w:hAnsi="Calibri" w:cs="Calibri"/>
                <w:color w:val="000000"/>
                <w:shd w:val="clear" w:color="auto" w:fill="FFFFFF"/>
                <w:lang w:val="en-US"/>
              </w:rPr>
              <w:t xml:space="preserve"> Annex</w:t>
            </w:r>
            <w:r>
              <w:rPr>
                <w:rStyle w:val="normaltextrun"/>
                <w:rFonts w:ascii="Calibri" w:hAnsi="Calibri" w:cs="Calibri"/>
                <w:color w:val="000000"/>
                <w:shd w:val="clear" w:color="auto" w:fill="FFFFFF"/>
                <w:lang w:val="en-US"/>
              </w:rPr>
              <w:t>,</w:t>
            </w:r>
            <w:r w:rsidRPr="002968C0">
              <w:rPr>
                <w:rStyle w:val="normaltextrun"/>
                <w:rFonts w:ascii="Calibri" w:hAnsi="Calibri" w:cs="Calibri"/>
                <w:color w:val="000000"/>
                <w:shd w:val="clear" w:color="auto" w:fill="FFFFFF"/>
                <w:lang w:val="en-US"/>
              </w:rPr>
              <w:t xml:space="preserve"> Table 2</w:t>
            </w:r>
            <w:r w:rsidR="00F961C9">
              <w:rPr>
                <w:rStyle w:val="normaltextrun"/>
                <w:rFonts w:ascii="Calibri" w:hAnsi="Calibri" w:cs="Calibri"/>
                <w:color w:val="000000"/>
                <w:shd w:val="clear" w:color="auto" w:fill="FFFFFF"/>
                <w:lang w:val="en-US"/>
              </w:rPr>
              <w:t xml:space="preserve"> </w:t>
            </w:r>
            <w:r w:rsidR="00F5310D" w:rsidRPr="00F5310D">
              <w:rPr>
                <w:rStyle w:val="normaltextrun"/>
                <w:rFonts w:ascii="Calibri" w:hAnsi="Calibri" w:cs="Calibri"/>
                <w:color w:val="000000"/>
                <w:shd w:val="clear" w:color="auto" w:fill="FFFFFF"/>
                <w:lang w:val="en-US"/>
              </w:rPr>
              <w:t>define the minimum environmental performance thresholds a vehicle must meet to qualify as a “clean vehicle” under the Directive and thus count toward the mandatory procurement targets in Article 5(1).</w:t>
            </w:r>
          </w:p>
          <w:p w14:paraId="03672FD7" w14:textId="77777777" w:rsidR="00FB7B2B" w:rsidRDefault="00FB7B2B" w:rsidP="00610F28">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 xml:space="preserve">- </w:t>
            </w:r>
            <w:r w:rsidRPr="00FB7B2B">
              <w:rPr>
                <w:rStyle w:val="normaltextrun"/>
                <w:rFonts w:ascii="Calibri" w:hAnsi="Calibri" w:cs="Calibri"/>
                <w:color w:val="000000"/>
                <w:shd w:val="clear" w:color="auto" w:fill="FFFFFF"/>
                <w:lang w:val="en-US"/>
              </w:rPr>
              <w:t xml:space="preserve">Other </w:t>
            </w:r>
            <w:proofErr w:type="gramStart"/>
            <w:r w:rsidRPr="00FB7B2B">
              <w:rPr>
                <w:rStyle w:val="normaltextrun"/>
                <w:rFonts w:ascii="Calibri" w:hAnsi="Calibri" w:cs="Calibri"/>
                <w:color w:val="000000"/>
                <w:shd w:val="clear" w:color="auto" w:fill="FFFFFF"/>
                <w:lang w:val="en-US"/>
              </w:rPr>
              <w:t>procurement stage</w:t>
            </w:r>
            <w:proofErr w:type="gramEnd"/>
            <w:r w:rsidRPr="00FB7B2B">
              <w:rPr>
                <w:rStyle w:val="normaltextrun"/>
                <w:rFonts w:ascii="Calibri" w:hAnsi="Calibri" w:cs="Calibri"/>
                <w:color w:val="000000"/>
                <w:shd w:val="clear" w:color="auto" w:fill="FFFFFF"/>
                <w:lang w:val="en-US"/>
              </w:rPr>
              <w:t xml:space="preserve"> allowances, recommendations or requirements</w:t>
            </w:r>
          </w:p>
          <w:p w14:paraId="1FEBD8A5" w14:textId="2D9BC5C7" w:rsidR="00FB7B2B" w:rsidRPr="00610F28" w:rsidRDefault="0017467D" w:rsidP="00610F28">
            <w:pPr>
              <w:rPr>
                <w:rStyle w:val="normaltextrun"/>
                <w:rFonts w:ascii="Calibri" w:hAnsi="Calibri" w:cs="Calibri"/>
                <w:color w:val="000000"/>
                <w:shd w:val="clear" w:color="auto" w:fill="FFFFFF"/>
                <w:lang w:val="en-US"/>
              </w:rPr>
            </w:pPr>
            <w:r w:rsidRPr="00F5310D">
              <w:rPr>
                <w:rStyle w:val="normaltextrun"/>
                <w:rFonts w:ascii="Calibri" w:hAnsi="Calibri" w:cs="Calibri"/>
                <w:color w:val="000000"/>
                <w:shd w:val="clear" w:color="auto" w:fill="FFFFFF"/>
                <w:lang w:val="en-US"/>
              </w:rPr>
              <w:t>Article 5(4)</w:t>
            </w:r>
            <w:r>
              <w:rPr>
                <w:rStyle w:val="normaltextrun"/>
                <w:rFonts w:ascii="Calibri" w:hAnsi="Calibri" w:cs="Calibri"/>
                <w:color w:val="000000"/>
                <w:shd w:val="clear" w:color="auto" w:fill="FFFFFF"/>
                <w:lang w:val="en-US"/>
              </w:rPr>
              <w:t>-</w:t>
            </w:r>
            <w:r w:rsidRPr="00F5310D">
              <w:rPr>
                <w:rStyle w:val="normaltextrun"/>
                <w:rFonts w:ascii="Calibri" w:hAnsi="Calibri" w:cs="Calibri"/>
                <w:color w:val="000000"/>
                <w:shd w:val="clear" w:color="auto" w:fill="FFFFFF"/>
                <w:lang w:val="en-US"/>
              </w:rPr>
              <w:t>(5)</w:t>
            </w:r>
            <w:r>
              <w:rPr>
                <w:rStyle w:val="normaltextrun"/>
                <w:rFonts w:ascii="Calibri" w:hAnsi="Calibri" w:cs="Calibri"/>
                <w:color w:val="000000"/>
                <w:shd w:val="clear" w:color="auto" w:fill="FFFFFF"/>
                <w:lang w:val="en-US"/>
              </w:rPr>
              <w:t xml:space="preserve"> clarifies that </w:t>
            </w:r>
            <w:r w:rsidRPr="00F5310D">
              <w:rPr>
                <w:rStyle w:val="normaltextrun"/>
                <w:rFonts w:ascii="Calibri" w:hAnsi="Calibri" w:cs="Calibri"/>
                <w:color w:val="000000"/>
                <w:shd w:val="clear" w:color="auto" w:fill="FFFFFF"/>
                <w:lang w:val="en-US"/>
              </w:rPr>
              <w:t xml:space="preserve">that the vehicles used under certain public service contracts (e.g. public transport, waste collection, parcel delivery) must meet the clean vehicle definition </w:t>
            </w:r>
            <w:proofErr w:type="gramStart"/>
            <w:r w:rsidRPr="00F5310D">
              <w:rPr>
                <w:rStyle w:val="normaltextrun"/>
                <w:rFonts w:ascii="Calibri" w:hAnsi="Calibri" w:cs="Calibri"/>
                <w:color w:val="000000"/>
                <w:shd w:val="clear" w:color="auto" w:fill="FFFFFF"/>
                <w:lang w:val="en-US"/>
              </w:rPr>
              <w:t>in order to</w:t>
            </w:r>
            <w:proofErr w:type="gramEnd"/>
            <w:r w:rsidRPr="00F5310D">
              <w:rPr>
                <w:rStyle w:val="normaltextrun"/>
                <w:rFonts w:ascii="Calibri" w:hAnsi="Calibri" w:cs="Calibri"/>
                <w:color w:val="000000"/>
                <w:shd w:val="clear" w:color="auto" w:fill="FFFFFF"/>
                <w:lang w:val="en-US"/>
              </w:rPr>
              <w:t xml:space="preserve"> be counted toward the Member State’s obligations.</w:t>
            </w:r>
            <w:bookmarkStart w:id="20" w:name="OpenAt"/>
            <w:bookmarkEnd w:id="20"/>
          </w:p>
        </w:tc>
      </w:tr>
    </w:tbl>
    <w:p w14:paraId="42B55ABA" w14:textId="77777777" w:rsidR="00064195" w:rsidRDefault="00064195"/>
    <w:p w14:paraId="6C78C0BB" w14:textId="79EC73B0" w:rsidR="00064195" w:rsidRDefault="005E50FD" w:rsidP="00064195">
      <w:pPr>
        <w:pStyle w:val="Heading2"/>
      </w:pPr>
      <w:bookmarkStart w:id="21" w:name="_Toc198223617"/>
      <w:r>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62A7745B" w:rsidR="008A4685" w:rsidRPr="00CF2E7C" w:rsidRDefault="003868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4D27AF0F" w:rsidR="008A4685" w:rsidRPr="00CF2E7C" w:rsidRDefault="003868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0673B0CA" w:rsidR="008A4685" w:rsidRPr="00CF2E7C" w:rsidRDefault="003868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1F51DCCC" w:rsidR="008A4685" w:rsidRPr="00CF2E7C" w:rsidRDefault="00386801"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386801">
              <w:rPr>
                <w:rStyle w:val="normaltextrun"/>
                <w:rFonts w:ascii="Calibri" w:hAnsi="Calibri" w:cs="Calibri"/>
                <w:color w:val="000000"/>
                <w:bdr w:val="none" w:sz="0" w:space="0" w:color="auto" w:frame="1"/>
                <w:lang w:val="en-US"/>
              </w:rPr>
              <w:t>Other</w:t>
            </w:r>
          </w:p>
        </w:tc>
        <w:tc>
          <w:tcPr>
            <w:tcW w:w="2520" w:type="dxa"/>
            <w:vAlign w:val="center"/>
          </w:tcPr>
          <w:p w14:paraId="5B482D12" w14:textId="2290466B" w:rsidR="008A4685" w:rsidRPr="00CF2E7C" w:rsidRDefault="00386801"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3F018587"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386C5C38"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301A9175"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064B096D"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07B55EDC"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5404E39B"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5A9C884D"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4225C764"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E5F23DD"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62EFBBA3" w:rsidR="008A4685" w:rsidRPr="00CF2E7C" w:rsidRDefault="009561A6"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42696CEA"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61841F94"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24BC510D"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677E22DB"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6D0C222B"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0587BA12"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42F9EE20"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09311433"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3AE0A273"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56C4D8E9"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58C25941"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32E7010F" w:rsidR="008A4685" w:rsidRPr="00CF2E7C" w:rsidRDefault="009323E9"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04329B15"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24741CCB" w:rsidR="008A4685" w:rsidRPr="00CF2E7C" w:rsidRDefault="00076894"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lastRenderedPageBreak/>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162879BA" w14:textId="77777777" w:rsidR="00483D65" w:rsidRDefault="00401C08" w:rsidP="00CF2E7C">
            <w:pPr>
              <w:rPr>
                <w:rStyle w:val="normaltextrun"/>
                <w:rFonts w:ascii="Calibri" w:hAnsi="Calibri" w:cs="Calibri"/>
                <w:color w:val="000000"/>
                <w:lang w:val="en-US"/>
              </w:rPr>
            </w:pPr>
            <w:r>
              <w:rPr>
                <w:rStyle w:val="normaltextrun"/>
                <w:rFonts w:ascii="Calibri" w:hAnsi="Calibri" w:cs="Calibri"/>
                <w:color w:val="000000"/>
                <w:shd w:val="clear" w:color="auto" w:fill="FFFFFF"/>
                <w:lang w:val="en-US"/>
              </w:rPr>
              <w:t xml:space="preserve">- </w:t>
            </w:r>
            <w:r w:rsidRPr="00CF2E7C">
              <w:rPr>
                <w:rStyle w:val="normaltextrun"/>
                <w:rFonts w:ascii="Calibri" w:hAnsi="Calibri" w:cs="Calibri"/>
                <w:color w:val="000000"/>
                <w:lang w:val="en-US"/>
              </w:rPr>
              <w:t>Product carbon emissions</w:t>
            </w:r>
          </w:p>
          <w:p w14:paraId="31ED7251" w14:textId="77777777" w:rsidR="00401C08" w:rsidRDefault="008A5297" w:rsidP="00CF2E7C">
            <w:pPr>
              <w:rPr>
                <w:rStyle w:val="normaltextrun"/>
                <w:rFonts w:ascii="Calibri" w:hAnsi="Calibri" w:cs="Calibri"/>
                <w:color w:val="000000"/>
                <w:shd w:val="clear" w:color="auto" w:fill="FFFFFF"/>
                <w:lang w:val="en-US"/>
              </w:rPr>
            </w:pPr>
            <w:r w:rsidRPr="008A5297">
              <w:rPr>
                <w:rStyle w:val="normaltextrun"/>
                <w:rFonts w:ascii="Calibri" w:hAnsi="Calibri" w:cs="Calibri"/>
                <w:color w:val="000000"/>
                <w:shd w:val="clear" w:color="auto" w:fill="FFFFFF"/>
                <w:lang w:val="en-US"/>
              </w:rPr>
              <w:t>Clean vehicles are defined based on CO₂ g/km thresholds and RDE pollutant limits (Article 4(4)(a) and Annex</w:t>
            </w:r>
            <w:r>
              <w:rPr>
                <w:rStyle w:val="normaltextrun"/>
                <w:rFonts w:ascii="Calibri" w:hAnsi="Calibri" w:cs="Calibri"/>
                <w:color w:val="000000"/>
                <w:shd w:val="clear" w:color="auto" w:fill="FFFFFF"/>
                <w:lang w:val="en-US"/>
              </w:rPr>
              <w:t>,</w:t>
            </w:r>
            <w:r w:rsidRPr="008A5297">
              <w:rPr>
                <w:rStyle w:val="normaltextrun"/>
                <w:rFonts w:ascii="Calibri" w:hAnsi="Calibri" w:cs="Calibri"/>
                <w:color w:val="000000"/>
                <w:shd w:val="clear" w:color="auto" w:fill="FFFFFF"/>
                <w:lang w:val="en-US"/>
              </w:rPr>
              <w:t xml:space="preserve"> Table 2). These criteria function as minimum technical requirements for procurement.</w:t>
            </w:r>
          </w:p>
          <w:p w14:paraId="66E1BEC8" w14:textId="77777777" w:rsidR="008A5297" w:rsidRDefault="008A5297" w:rsidP="00CF2E7C">
            <w:pPr>
              <w:rPr>
                <w:rStyle w:val="normaltextrun"/>
                <w:rFonts w:ascii="Calibri" w:hAnsi="Calibri" w:cs="Calibri"/>
                <w:color w:val="000000"/>
                <w:lang w:val="en-US"/>
              </w:rPr>
            </w:pPr>
            <w:r>
              <w:rPr>
                <w:rStyle w:val="normaltextrun"/>
                <w:rFonts w:ascii="Calibri" w:hAnsi="Calibri" w:cs="Calibri"/>
                <w:color w:val="000000"/>
                <w:shd w:val="clear" w:color="auto" w:fill="FFFFFF"/>
                <w:lang w:val="en-US"/>
              </w:rPr>
              <w:t xml:space="preserve">- </w:t>
            </w:r>
            <w:r w:rsidRPr="00CF2E7C">
              <w:rPr>
                <w:rStyle w:val="normaltextrun"/>
                <w:rFonts w:ascii="Calibri" w:hAnsi="Calibri" w:cs="Calibri"/>
                <w:color w:val="000000"/>
                <w:lang w:val="en-US"/>
              </w:rPr>
              <w:t>An absolute or intensity-based emissions cap</w:t>
            </w:r>
          </w:p>
          <w:p w14:paraId="6A1037F4" w14:textId="77777777" w:rsidR="008A5297" w:rsidRDefault="008A5297" w:rsidP="00CF2E7C">
            <w:pPr>
              <w:rPr>
                <w:rStyle w:val="normaltextrun"/>
                <w:rFonts w:ascii="Calibri" w:hAnsi="Calibri" w:cs="Calibri"/>
                <w:color w:val="000000"/>
                <w:shd w:val="clear" w:color="auto" w:fill="FFFFFF"/>
                <w:lang w:val="en-US"/>
              </w:rPr>
            </w:pPr>
            <w:r w:rsidRPr="008A5297">
              <w:rPr>
                <w:rStyle w:val="normaltextrun"/>
                <w:rFonts w:ascii="Calibri" w:hAnsi="Calibri" w:cs="Calibri"/>
                <w:color w:val="000000"/>
                <w:shd w:val="clear" w:color="auto" w:fill="FFFFFF"/>
                <w:lang w:val="en-US"/>
              </w:rPr>
              <w:t>The emission thresholds specified in Annex</w:t>
            </w:r>
            <w:r>
              <w:rPr>
                <w:rStyle w:val="normaltextrun"/>
                <w:rFonts w:ascii="Calibri" w:hAnsi="Calibri" w:cs="Calibri"/>
                <w:color w:val="000000"/>
                <w:shd w:val="clear" w:color="auto" w:fill="FFFFFF"/>
                <w:lang w:val="en-US"/>
              </w:rPr>
              <w:t>,</w:t>
            </w:r>
            <w:r w:rsidRPr="008A5297">
              <w:rPr>
                <w:rStyle w:val="normaltextrun"/>
                <w:rFonts w:ascii="Calibri" w:hAnsi="Calibri" w:cs="Calibri"/>
                <w:color w:val="000000"/>
                <w:shd w:val="clear" w:color="auto" w:fill="FFFFFF"/>
                <w:lang w:val="en-US"/>
              </w:rPr>
              <w:t xml:space="preserve"> Table 2 (e.g. 50 g CO₂/km until 2025; 0 g/km from 2026 for light-duty vehicles) act as binding intensity-based caps for qualifying vehicles.</w:t>
            </w:r>
          </w:p>
          <w:p w14:paraId="420EBB4B" w14:textId="77777777" w:rsidR="008A5297" w:rsidRDefault="008A5297" w:rsidP="00CF2E7C">
            <w:pPr>
              <w:rPr>
                <w:rStyle w:val="normaltextrun"/>
                <w:rFonts w:ascii="Calibri" w:hAnsi="Calibri" w:cs="Calibri"/>
                <w:color w:val="000000"/>
                <w:lang w:val="en-US"/>
              </w:rPr>
            </w:pPr>
            <w:r>
              <w:rPr>
                <w:rStyle w:val="normaltextrun"/>
                <w:rFonts w:ascii="Calibri" w:hAnsi="Calibri" w:cs="Calibri"/>
                <w:color w:val="000000"/>
                <w:shd w:val="clear" w:color="auto" w:fill="FFFFFF"/>
                <w:lang w:val="en-US"/>
              </w:rPr>
              <w:t xml:space="preserve">- </w:t>
            </w:r>
            <w:r w:rsidRPr="00CF2E7C">
              <w:rPr>
                <w:rStyle w:val="normaltextrun"/>
                <w:rFonts w:ascii="Calibri" w:hAnsi="Calibri" w:cs="Calibri"/>
                <w:color w:val="000000"/>
                <w:lang w:val="en-US"/>
              </w:rPr>
              <w:t>Percentage of energy from renewable sources</w:t>
            </w:r>
          </w:p>
          <w:p w14:paraId="5EA78844" w14:textId="77777777" w:rsidR="008A5297" w:rsidRDefault="009F7673" w:rsidP="00CF2E7C">
            <w:pPr>
              <w:rPr>
                <w:rStyle w:val="normaltextrun"/>
                <w:rFonts w:ascii="Calibri" w:hAnsi="Calibri" w:cs="Calibri"/>
                <w:color w:val="000000"/>
                <w:shd w:val="clear" w:color="auto" w:fill="FFFFFF"/>
                <w:lang w:val="en-US"/>
              </w:rPr>
            </w:pPr>
            <w:r w:rsidRPr="009F7673">
              <w:rPr>
                <w:rStyle w:val="normaltextrun"/>
                <w:rFonts w:ascii="Calibri" w:hAnsi="Calibri" w:cs="Calibri"/>
                <w:color w:val="000000"/>
                <w:shd w:val="clear" w:color="auto" w:fill="FFFFFF"/>
                <w:lang w:val="en-US"/>
              </w:rPr>
              <w:t>Vehicles using liquid biofuels, synthetic and paraffinic fuels must use fuels that shall not be blended with conventional fossil fuels (Article 4(4)(b)), and such fuels must comply with Article 26 of Directive (EU) 2018/2001, excluding high ILUC-risk biofuels.</w:t>
            </w:r>
          </w:p>
          <w:p w14:paraId="29FCFD7C" w14:textId="77777777" w:rsidR="009F7673" w:rsidRDefault="009F7673" w:rsidP="00CF2E7C">
            <w:pPr>
              <w:rPr>
                <w:rStyle w:val="normaltextrun"/>
                <w:rFonts w:ascii="Calibri" w:hAnsi="Calibri" w:cs="Calibri"/>
                <w:color w:val="000000"/>
                <w:lang w:val="en-US"/>
              </w:rPr>
            </w:pPr>
            <w:r>
              <w:rPr>
                <w:rStyle w:val="normaltextrun"/>
                <w:rFonts w:ascii="Calibri" w:hAnsi="Calibri" w:cs="Calibri"/>
                <w:color w:val="000000"/>
                <w:shd w:val="clear" w:color="auto" w:fill="FFFFFF"/>
                <w:lang w:val="en-US"/>
              </w:rPr>
              <w:t xml:space="preserve">- </w:t>
            </w:r>
            <w:r w:rsidRPr="00CF2E7C">
              <w:rPr>
                <w:rStyle w:val="normaltextrun"/>
                <w:rFonts w:ascii="Calibri" w:hAnsi="Calibri" w:cs="Calibri"/>
                <w:color w:val="000000"/>
                <w:lang w:val="en-US"/>
              </w:rPr>
              <w:t>Use of low or zero-carbon energy/ fuel technology (e.g. electric vehicles, heat pumps, solar panels)</w:t>
            </w:r>
          </w:p>
          <w:p w14:paraId="6121927A" w14:textId="11AF112D" w:rsidR="006E71A5" w:rsidRPr="00CF2E7C" w:rsidRDefault="009F7673" w:rsidP="00CF2E7C">
            <w:pPr>
              <w:rPr>
                <w:rStyle w:val="normaltextrun"/>
                <w:rFonts w:ascii="Calibri" w:hAnsi="Calibri" w:cs="Calibri"/>
                <w:color w:val="000000"/>
                <w:shd w:val="clear" w:color="auto" w:fill="FFFFFF"/>
                <w:lang w:val="en-US"/>
              </w:rPr>
            </w:pPr>
            <w:r w:rsidRPr="009F7673">
              <w:rPr>
                <w:rStyle w:val="normaltextrun"/>
                <w:rFonts w:ascii="Calibri" w:hAnsi="Calibri" w:cs="Calibri"/>
                <w:color w:val="000000"/>
                <w:shd w:val="clear" w:color="auto" w:fill="FFFFFF"/>
                <w:lang w:val="en-US"/>
              </w:rPr>
              <w:t>The Directive explicitly requires that clean heavy-duty vehicles use alternative fuels (Article 4(4)(b)). Zero-emission vehicles must have no internal combustion engine or emit &lt;1 g CO₂/kWh or CO₂/km (Article 4(5)).</w:t>
            </w:r>
          </w:p>
        </w:tc>
      </w:tr>
    </w:tbl>
    <w:p w14:paraId="16B00F72" w14:textId="77777777" w:rsidR="001E7C37" w:rsidRDefault="001E7C37"/>
    <w:p w14:paraId="5ED6D64A" w14:textId="5B4704E1"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8AEC97F"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2474DFB6" w:rsidR="009A5C4E" w:rsidRPr="0074258C" w:rsidRDefault="00BC687C" w:rsidP="00CF2E7C">
            <w:pPr>
              <w:rPr>
                <w:rStyle w:val="normaltextrun"/>
                <w:rFonts w:cstheme="minorHAnsi"/>
                <w:color w:val="000000"/>
                <w:lang w:val="en-US"/>
              </w:rPr>
            </w:pPr>
            <w:r>
              <w:rPr>
                <w:rStyle w:val="normaltextrun"/>
                <w:rFonts w:cstheme="minorHAnsi"/>
                <w:color w:val="000000"/>
                <w:lang w:val="en-US"/>
              </w:rPr>
              <w:t>X</w:t>
            </w: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0A368A5F"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31F59584" w:rsidR="009A5C4E" w:rsidRPr="0074258C" w:rsidRDefault="00EF7A1D" w:rsidP="00CF2E7C">
            <w:pPr>
              <w:rPr>
                <w:rStyle w:val="normaltextrun"/>
                <w:rFonts w:cstheme="minorHAnsi"/>
                <w:color w:val="000000"/>
                <w:shd w:val="clear" w:color="auto" w:fill="FFFFFF"/>
                <w:lang w:val="en-US"/>
              </w:rPr>
            </w:pPr>
            <w:r w:rsidRPr="00EF7A1D">
              <w:rPr>
                <w:rStyle w:val="normaltextrun"/>
                <w:rFonts w:cstheme="minorHAnsi"/>
                <w:color w:val="000000"/>
                <w:shd w:val="clear" w:color="auto" w:fill="FFFFFF"/>
                <w:lang w:val="en-US"/>
              </w:rPr>
              <w:t>Recital 14</w:t>
            </w:r>
            <w:r>
              <w:rPr>
                <w:rStyle w:val="normaltextrun"/>
                <w:rFonts w:cstheme="minorHAnsi"/>
                <w:color w:val="000000"/>
                <w:shd w:val="clear" w:color="auto" w:fill="FFFFFF"/>
                <w:lang w:val="en-US"/>
              </w:rPr>
              <w:t xml:space="preserve"> </w:t>
            </w:r>
            <w:r w:rsidRPr="00EF7A1D">
              <w:rPr>
                <w:rStyle w:val="normaltextrun"/>
                <w:rFonts w:cstheme="minorHAnsi"/>
                <w:color w:val="000000"/>
                <w:shd w:val="clear" w:color="auto" w:fill="FFFFFF"/>
                <w:lang w:val="en-US"/>
              </w:rPr>
              <w:t xml:space="preserve">recommends </w:t>
            </w:r>
            <w:r w:rsidR="001720B5">
              <w:rPr>
                <w:rStyle w:val="normaltextrun"/>
                <w:rFonts w:cstheme="minorHAnsi"/>
                <w:color w:val="000000"/>
                <w:shd w:val="clear" w:color="auto" w:fill="FFFFFF"/>
                <w:lang w:val="en-US"/>
              </w:rPr>
              <w:t>that compliance with fuel criteria be ensured through contract performance instruments. These may include mandatory contract clauses, or similarly effective means (e.g., contract conditions, specifications, enforcement tools).</w:t>
            </w: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lastRenderedPageBreak/>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15CED317" w:rsidR="009A5C4E" w:rsidRPr="0074258C" w:rsidRDefault="00D476C1" w:rsidP="00CF2E7C">
            <w:pPr>
              <w:rPr>
                <w:rStyle w:val="normaltextrun"/>
                <w:rFonts w:cstheme="minorHAnsi"/>
                <w:color w:val="000000"/>
                <w:lang w:val="en-US"/>
              </w:rPr>
            </w:pPr>
            <w:r>
              <w:rPr>
                <w:rStyle w:val="normaltextrun"/>
                <w:rFonts w:cstheme="minorHAnsi"/>
                <w:color w:val="000000"/>
                <w:lang w:val="en-US"/>
              </w:rPr>
              <w:t>X</w:t>
            </w: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10ABA11C" w14:textId="77777777" w:rsidR="00B56E7A" w:rsidRDefault="00B56E7A" w:rsidP="00CF2E7C">
            <w:pPr>
              <w:rPr>
                <w:rStyle w:val="normaltextrun"/>
                <w:rFonts w:ascii="Mulish" w:hAnsi="Mulish"/>
                <w:color w:val="000000"/>
                <w:sz w:val="22"/>
                <w:szCs w:val="22"/>
                <w:shd w:val="clear" w:color="auto" w:fill="FFFFFF"/>
                <w:lang w:val="en-US"/>
              </w:rPr>
            </w:pPr>
            <w:r>
              <w:rPr>
                <w:rStyle w:val="normaltextrun"/>
                <w:rFonts w:ascii="Mulish" w:hAnsi="Mulish"/>
                <w:color w:val="000000"/>
                <w:sz w:val="22"/>
                <w:szCs w:val="22"/>
                <w:shd w:val="clear" w:color="auto" w:fill="FFFFFF"/>
                <w:lang w:val="en-US"/>
              </w:rPr>
              <w:t xml:space="preserve">This policy tool </w:t>
            </w:r>
            <w:r w:rsidRPr="00B56E7A">
              <w:rPr>
                <w:rStyle w:val="normaltextrun"/>
                <w:rFonts w:ascii="Mulish" w:hAnsi="Mulish"/>
                <w:color w:val="000000"/>
                <w:sz w:val="22"/>
                <w:szCs w:val="22"/>
                <w:shd w:val="clear" w:color="auto" w:fill="FFFFFF"/>
                <w:lang w:val="en-US"/>
              </w:rPr>
              <w:t xml:space="preserve">requires Member States to monitor and report upon the procurement of clean vehicles, which constitutes a form of climate-aligned procurement monitoring. </w:t>
            </w:r>
          </w:p>
          <w:p w14:paraId="5E1629C7" w14:textId="77777777" w:rsidR="00B56E7A" w:rsidRDefault="00B56E7A" w:rsidP="00CF2E7C">
            <w:pPr>
              <w:rPr>
                <w:rStyle w:val="normaltextrun"/>
                <w:rFonts w:ascii="Mulish" w:hAnsi="Mulish"/>
                <w:color w:val="000000"/>
                <w:sz w:val="22"/>
                <w:szCs w:val="22"/>
                <w:shd w:val="clear" w:color="auto" w:fill="FFFFFF"/>
                <w:lang w:val="en-US"/>
              </w:rPr>
            </w:pPr>
            <w:r w:rsidRPr="00B56E7A">
              <w:rPr>
                <w:rStyle w:val="normaltextrun"/>
                <w:rFonts w:ascii="Mulish" w:hAnsi="Mulish"/>
                <w:color w:val="000000"/>
                <w:sz w:val="22"/>
                <w:szCs w:val="22"/>
                <w:shd w:val="clear" w:color="auto" w:fill="FFFFFF"/>
                <w:lang w:val="en-US"/>
              </w:rPr>
              <w:t xml:space="preserve">These reports are supported by a central publication point: the Tenders Electronic Daily (TED) system, from which the Commission extracts and publishes relevant data pursuant to Article 10(3). </w:t>
            </w:r>
          </w:p>
          <w:p w14:paraId="22B42C4B" w14:textId="77777777" w:rsidR="00B56E7A" w:rsidRDefault="00B56E7A" w:rsidP="00CF2E7C">
            <w:pPr>
              <w:rPr>
                <w:rStyle w:val="normaltextrun"/>
                <w:rFonts w:ascii="Mulish" w:hAnsi="Mulish"/>
                <w:color w:val="000000"/>
                <w:sz w:val="22"/>
                <w:szCs w:val="22"/>
                <w:shd w:val="clear" w:color="auto" w:fill="FFFFFF"/>
                <w:lang w:val="en-US"/>
              </w:rPr>
            </w:pPr>
            <w:r w:rsidRPr="00B56E7A">
              <w:rPr>
                <w:rStyle w:val="normaltextrun"/>
                <w:rFonts w:ascii="Mulish" w:hAnsi="Mulish"/>
                <w:color w:val="000000"/>
                <w:sz w:val="22"/>
                <w:szCs w:val="22"/>
                <w:shd w:val="clear" w:color="auto" w:fill="FFFFFF"/>
                <w:lang w:val="en-US"/>
              </w:rPr>
              <w:t xml:space="preserve">Under Article 10(2), Member States must submit implementation reports to the Commission every three years starting from 18 April 2026, including data on the number and categories of vehicles procured under contracts falling within the scope of Article 3(1). </w:t>
            </w:r>
          </w:p>
          <w:p w14:paraId="350926DD" w14:textId="134D975B" w:rsidR="009A5C4E" w:rsidRDefault="00B56E7A" w:rsidP="00CF2E7C">
            <w:pPr>
              <w:rPr>
                <w:rStyle w:val="normaltextrun"/>
                <w:rFonts w:ascii="Mulish" w:hAnsi="Mulish"/>
                <w:color w:val="000000"/>
                <w:sz w:val="22"/>
                <w:szCs w:val="22"/>
                <w:shd w:val="clear" w:color="auto" w:fill="FFFFFF"/>
                <w:lang w:val="en-US"/>
              </w:rPr>
            </w:pPr>
            <w:r w:rsidRPr="00B56E7A">
              <w:rPr>
                <w:rStyle w:val="normaltextrun"/>
                <w:rFonts w:ascii="Mulish" w:hAnsi="Mulish"/>
                <w:color w:val="000000"/>
                <w:sz w:val="22"/>
                <w:szCs w:val="22"/>
                <w:shd w:val="clear" w:color="auto" w:fill="FFFFFF"/>
                <w:lang w:val="en-US"/>
              </w:rPr>
              <w:t>Furthermore, Article 10(4) requires the Commission to compile these national reports and submit a Union-level implementation report to the European Parliament and the Council every three years, beginning in 2027, thereby ensuring transparency and oversight at the EU level.</w:t>
            </w:r>
          </w:p>
        </w:tc>
      </w:tr>
    </w:tbl>
    <w:p w14:paraId="3477D7BB" w14:textId="77777777" w:rsidR="009A5C4E" w:rsidRDefault="009A5C4E"/>
    <w:p w14:paraId="541E0FA3" w14:textId="0C01434D"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5EF81CB8" w:rsidR="007802C6" w:rsidRPr="00CF2E7C" w:rsidRDefault="00CC72D1"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6F729F93" w:rsidR="007802C6" w:rsidRPr="00CF2E7C" w:rsidRDefault="00CC72D1"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1B60B75A" w:rsidR="007802C6" w:rsidRPr="00CF2E7C" w:rsidRDefault="00CC72D1"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6866AF5D" w:rsidR="007802C6" w:rsidRPr="00CF2E7C" w:rsidRDefault="00CC72D1"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4662816A" w:rsidR="007802C6" w:rsidRPr="00CF2E7C" w:rsidRDefault="00CC72D1"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4C0B984C" w:rsidR="007802C6" w:rsidRPr="00CF2E7C" w:rsidRDefault="00CC72D1"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73DE7ED0" w:rsidR="007802C6" w:rsidRPr="00CF2E7C" w:rsidRDefault="00CC72D1"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9B3DE49" w:rsidR="007802C6" w:rsidRPr="00CF2E7C" w:rsidRDefault="00CC72D1"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4635F93" w:rsidR="007802C6" w:rsidRPr="00CF2E7C" w:rsidRDefault="00CC72D1"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33566810" w:rsidR="007802C6" w:rsidRPr="00CF2E7C" w:rsidRDefault="00CC72D1"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14E3099A" w:rsidR="007802C6" w:rsidRPr="00CF2E7C" w:rsidRDefault="00CC72D1"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64F41FFA" w:rsidR="007802C6" w:rsidRPr="00CF2E7C" w:rsidRDefault="00CC72D1"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47B9B28" w:rsidR="007802C6" w:rsidRPr="00CF2E7C" w:rsidRDefault="00CC72D1"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14FBFF23" w:rsidR="007802C6" w:rsidRPr="00CF2E7C" w:rsidRDefault="00CC72D1"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22779EA2" w:rsidR="007802C6" w:rsidRPr="00CF2E7C" w:rsidRDefault="00CC72D1"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620D7A2D" w:rsidR="007802C6" w:rsidRPr="00CF2E7C" w:rsidRDefault="00CC72D1"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3A14FB92" w:rsidR="007802C6" w:rsidRPr="00CF2E7C" w:rsidRDefault="00CC72D1"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5203E71B" w:rsidR="007802C6" w:rsidRPr="00CF2E7C" w:rsidRDefault="00CC72D1"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AC5D331" w:rsidR="007802C6" w:rsidRPr="00CF2E7C" w:rsidRDefault="00CC72D1"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1243FD95" w:rsidR="007802C6" w:rsidRPr="00CF2E7C" w:rsidRDefault="00CC72D1"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5563FD7E" w:rsidR="007802C6" w:rsidRPr="00CF2E7C" w:rsidRDefault="00CC72D1" w:rsidP="00CF2E7C">
            <w:pPr>
              <w:rPr>
                <w:rFonts w:ascii="Calibri" w:hAnsi="Calibri" w:cs="Calibri"/>
              </w:rPr>
            </w:pPr>
            <w:r>
              <w:rPr>
                <w:rFonts w:ascii="Calibri" w:hAnsi="Calibri" w:cs="Calibri"/>
              </w:rPr>
              <w:t>X</w:t>
            </w: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7800A5BC" w:rsidR="007802C6" w:rsidRPr="00CF2E7C" w:rsidRDefault="00CC72D1" w:rsidP="00CF2E7C">
            <w:pPr>
              <w:rPr>
                <w:rFonts w:ascii="Calibri" w:hAnsi="Calibri" w:cs="Calibri"/>
              </w:rPr>
            </w:pPr>
            <w:r>
              <w:rPr>
                <w:rFonts w:ascii="Calibri" w:hAnsi="Calibri" w:cs="Calibri"/>
              </w:rPr>
              <w:t>X</w:t>
            </w: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5ED5EB1B" w:rsidR="0046318A" w:rsidRPr="00CF2E7C" w:rsidRDefault="0046318A" w:rsidP="00CF2E7C">
            <w:pPr>
              <w:rPr>
                <w:rFonts w:ascii="Calibri" w:hAnsi="Calibri" w:cs="Calibri"/>
              </w:rPr>
            </w:pPr>
            <w:r>
              <w:rPr>
                <w:rFonts w:ascii="Calibri" w:hAnsi="Calibri" w:cs="Calibri"/>
              </w:rPr>
              <w:t xml:space="preserve"> </w:t>
            </w: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6" w:name="_Toc198223622"/>
      <w:r>
        <w:lastRenderedPageBreak/>
        <w:t>Domain 4: Carbon Credits</w:t>
      </w:r>
      <w:bookmarkEnd w:id="26"/>
    </w:p>
    <w:p w14:paraId="25C35D8C" w14:textId="52BD279F"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88177F"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40" w:name="_Toc198223631"/>
      <w:r w:rsidRPr="009C4D10">
        <w:lastRenderedPageBreak/>
        <w:t>Domain 5: Prudential Tools</w:t>
      </w:r>
      <w:bookmarkEnd w:id="40"/>
    </w:p>
    <w:p w14:paraId="3E16913F" w14:textId="21F34EF6"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88177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3" w:name="_Toc198223638"/>
      <w:r>
        <w:lastRenderedPageBreak/>
        <w:t>Domain 6: Methane Abatement</w:t>
      </w:r>
      <w:bookmarkEnd w:id="53"/>
    </w:p>
    <w:p w14:paraId="144EDD37"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88177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6" w:name="_Toc198223641"/>
      <w:r>
        <w:rPr>
          <w:rFonts w:eastAsia="Arial"/>
        </w:rPr>
        <w:lastRenderedPageBreak/>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DD6B41" w14:textId="77777777" w:rsidR="00D57B45" w:rsidRDefault="00D57B45" w:rsidP="00874E39">
      <w:r>
        <w:separator/>
      </w:r>
    </w:p>
  </w:endnote>
  <w:endnote w:type="continuationSeparator" w:id="0">
    <w:p w14:paraId="5E88E45D" w14:textId="77777777" w:rsidR="00D57B45" w:rsidRDefault="00D57B45" w:rsidP="00874E39">
      <w:r>
        <w:continuationSeparator/>
      </w:r>
    </w:p>
  </w:endnote>
  <w:endnote w:type="continuationNotice" w:id="1">
    <w:p w14:paraId="5595BD00" w14:textId="77777777" w:rsidR="00D57B45" w:rsidRDefault="00D57B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C72091" w14:textId="77777777" w:rsidR="00D57B45" w:rsidRDefault="00D57B45" w:rsidP="00874E39">
      <w:r>
        <w:separator/>
      </w:r>
    </w:p>
  </w:footnote>
  <w:footnote w:type="continuationSeparator" w:id="0">
    <w:p w14:paraId="0B805C85" w14:textId="77777777" w:rsidR="00D57B45" w:rsidRDefault="00D57B45" w:rsidP="00874E39">
      <w:r>
        <w:continuationSeparator/>
      </w:r>
    </w:p>
  </w:footnote>
  <w:footnote w:type="continuationNotice" w:id="1">
    <w:p w14:paraId="406E9616" w14:textId="77777777" w:rsidR="00D57B45" w:rsidRDefault="00D57B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533"/>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2516"/>
    <w:rsid w:val="0007502A"/>
    <w:rsid w:val="00075B10"/>
    <w:rsid w:val="00076894"/>
    <w:rsid w:val="000779A3"/>
    <w:rsid w:val="0008098E"/>
    <w:rsid w:val="00080D39"/>
    <w:rsid w:val="00083507"/>
    <w:rsid w:val="000844F5"/>
    <w:rsid w:val="00084827"/>
    <w:rsid w:val="00084B66"/>
    <w:rsid w:val="0008541F"/>
    <w:rsid w:val="00085CCD"/>
    <w:rsid w:val="0008744D"/>
    <w:rsid w:val="00087549"/>
    <w:rsid w:val="00090E3B"/>
    <w:rsid w:val="00091947"/>
    <w:rsid w:val="00091A8C"/>
    <w:rsid w:val="00091B67"/>
    <w:rsid w:val="00092534"/>
    <w:rsid w:val="00092E1C"/>
    <w:rsid w:val="00093CA9"/>
    <w:rsid w:val="000948C7"/>
    <w:rsid w:val="00096371"/>
    <w:rsid w:val="00096530"/>
    <w:rsid w:val="000966D3"/>
    <w:rsid w:val="000A0D34"/>
    <w:rsid w:val="000A118D"/>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DA3"/>
    <w:rsid w:val="000E6110"/>
    <w:rsid w:val="000E6A6A"/>
    <w:rsid w:val="000E7A8A"/>
    <w:rsid w:val="000F4459"/>
    <w:rsid w:val="000F5E92"/>
    <w:rsid w:val="000F690C"/>
    <w:rsid w:val="000F6A41"/>
    <w:rsid w:val="000F6E3B"/>
    <w:rsid w:val="00101305"/>
    <w:rsid w:val="001014D9"/>
    <w:rsid w:val="00101AF8"/>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7E41"/>
    <w:rsid w:val="001720B5"/>
    <w:rsid w:val="00172B85"/>
    <w:rsid w:val="00173D7C"/>
    <w:rsid w:val="0017449C"/>
    <w:rsid w:val="0017467D"/>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CA7"/>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104"/>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1B33"/>
    <w:rsid w:val="00242839"/>
    <w:rsid w:val="00244207"/>
    <w:rsid w:val="00245D20"/>
    <w:rsid w:val="00246630"/>
    <w:rsid w:val="00247DE7"/>
    <w:rsid w:val="002500FA"/>
    <w:rsid w:val="00250ED8"/>
    <w:rsid w:val="00250F54"/>
    <w:rsid w:val="0025129B"/>
    <w:rsid w:val="0025449C"/>
    <w:rsid w:val="002552C9"/>
    <w:rsid w:val="0025765F"/>
    <w:rsid w:val="00257732"/>
    <w:rsid w:val="00264CBC"/>
    <w:rsid w:val="0026588F"/>
    <w:rsid w:val="00265B72"/>
    <w:rsid w:val="0026642F"/>
    <w:rsid w:val="002664B0"/>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8C0"/>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3C8"/>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2E15"/>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66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0877"/>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801"/>
    <w:rsid w:val="00386B53"/>
    <w:rsid w:val="0038785C"/>
    <w:rsid w:val="0039010E"/>
    <w:rsid w:val="00390520"/>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1C08"/>
    <w:rsid w:val="004024D0"/>
    <w:rsid w:val="00404119"/>
    <w:rsid w:val="00404453"/>
    <w:rsid w:val="00405D8B"/>
    <w:rsid w:val="00406643"/>
    <w:rsid w:val="00410170"/>
    <w:rsid w:val="00410853"/>
    <w:rsid w:val="00410FCF"/>
    <w:rsid w:val="00413B91"/>
    <w:rsid w:val="0041424B"/>
    <w:rsid w:val="004148A2"/>
    <w:rsid w:val="00414CFC"/>
    <w:rsid w:val="004153A7"/>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18A"/>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0FC8"/>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4CAC"/>
    <w:rsid w:val="004F5354"/>
    <w:rsid w:val="00501101"/>
    <w:rsid w:val="00501CCF"/>
    <w:rsid w:val="00502833"/>
    <w:rsid w:val="00502C8A"/>
    <w:rsid w:val="00502F7A"/>
    <w:rsid w:val="00504B4A"/>
    <w:rsid w:val="00505115"/>
    <w:rsid w:val="00505C53"/>
    <w:rsid w:val="00507978"/>
    <w:rsid w:val="0051025C"/>
    <w:rsid w:val="005109A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77F10"/>
    <w:rsid w:val="00580679"/>
    <w:rsid w:val="0058109E"/>
    <w:rsid w:val="00582798"/>
    <w:rsid w:val="00582995"/>
    <w:rsid w:val="00582A6F"/>
    <w:rsid w:val="005845B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1EB7"/>
    <w:rsid w:val="005B355B"/>
    <w:rsid w:val="005B4539"/>
    <w:rsid w:val="005C327C"/>
    <w:rsid w:val="005C4420"/>
    <w:rsid w:val="005C5681"/>
    <w:rsid w:val="005C6A1D"/>
    <w:rsid w:val="005C765C"/>
    <w:rsid w:val="005C7DF6"/>
    <w:rsid w:val="005D02C9"/>
    <w:rsid w:val="005D186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D5F"/>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40CD"/>
    <w:rsid w:val="00685A4F"/>
    <w:rsid w:val="006878AC"/>
    <w:rsid w:val="00690B2A"/>
    <w:rsid w:val="006936EF"/>
    <w:rsid w:val="006943E9"/>
    <w:rsid w:val="00694A4F"/>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2AA"/>
    <w:rsid w:val="006E18FD"/>
    <w:rsid w:val="006E23C1"/>
    <w:rsid w:val="006E43A6"/>
    <w:rsid w:val="006E5C5F"/>
    <w:rsid w:val="006E5EE5"/>
    <w:rsid w:val="006E6B58"/>
    <w:rsid w:val="006E7195"/>
    <w:rsid w:val="006E71A5"/>
    <w:rsid w:val="006E7DC6"/>
    <w:rsid w:val="006F0E83"/>
    <w:rsid w:val="006F13BA"/>
    <w:rsid w:val="006F2FC8"/>
    <w:rsid w:val="006F344F"/>
    <w:rsid w:val="006F3CBF"/>
    <w:rsid w:val="006F4281"/>
    <w:rsid w:val="006F441A"/>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4D50"/>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D3A"/>
    <w:rsid w:val="007B5F4C"/>
    <w:rsid w:val="007B6750"/>
    <w:rsid w:val="007B6AD4"/>
    <w:rsid w:val="007B6E7E"/>
    <w:rsid w:val="007B7083"/>
    <w:rsid w:val="007B7292"/>
    <w:rsid w:val="007B72B3"/>
    <w:rsid w:val="007B7633"/>
    <w:rsid w:val="007B7DEE"/>
    <w:rsid w:val="007B7FD7"/>
    <w:rsid w:val="007C2783"/>
    <w:rsid w:val="007C2EAF"/>
    <w:rsid w:val="007C32D8"/>
    <w:rsid w:val="007C3BD3"/>
    <w:rsid w:val="007C3CB6"/>
    <w:rsid w:val="007C5200"/>
    <w:rsid w:val="007C67EA"/>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2B53"/>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3C9"/>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484"/>
    <w:rsid w:val="00861D43"/>
    <w:rsid w:val="00862972"/>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177F"/>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A5297"/>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54F"/>
    <w:rsid w:val="009177A2"/>
    <w:rsid w:val="00917876"/>
    <w:rsid w:val="00920154"/>
    <w:rsid w:val="00920AF4"/>
    <w:rsid w:val="00921319"/>
    <w:rsid w:val="00921326"/>
    <w:rsid w:val="00921386"/>
    <w:rsid w:val="00922122"/>
    <w:rsid w:val="00926863"/>
    <w:rsid w:val="00926D7F"/>
    <w:rsid w:val="009307C9"/>
    <w:rsid w:val="0093086E"/>
    <w:rsid w:val="00931F08"/>
    <w:rsid w:val="00932230"/>
    <w:rsid w:val="009323E9"/>
    <w:rsid w:val="0093344C"/>
    <w:rsid w:val="009338F2"/>
    <w:rsid w:val="00933F3C"/>
    <w:rsid w:val="00934657"/>
    <w:rsid w:val="009370E9"/>
    <w:rsid w:val="00937D9B"/>
    <w:rsid w:val="00940721"/>
    <w:rsid w:val="00940E65"/>
    <w:rsid w:val="0094115B"/>
    <w:rsid w:val="00944346"/>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1A6"/>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8738F"/>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837"/>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3BD"/>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9F7673"/>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078"/>
    <w:rsid w:val="00A212A7"/>
    <w:rsid w:val="00A21BB6"/>
    <w:rsid w:val="00A222D1"/>
    <w:rsid w:val="00A22938"/>
    <w:rsid w:val="00A22A89"/>
    <w:rsid w:val="00A22E75"/>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5D0"/>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5072"/>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2C89"/>
    <w:rsid w:val="00AF30FD"/>
    <w:rsid w:val="00AF3FC6"/>
    <w:rsid w:val="00AF4B5F"/>
    <w:rsid w:val="00AF5B6E"/>
    <w:rsid w:val="00AF79AE"/>
    <w:rsid w:val="00B006E5"/>
    <w:rsid w:val="00B00CFD"/>
    <w:rsid w:val="00B01374"/>
    <w:rsid w:val="00B01F74"/>
    <w:rsid w:val="00B02343"/>
    <w:rsid w:val="00B02BA4"/>
    <w:rsid w:val="00B03475"/>
    <w:rsid w:val="00B03E4A"/>
    <w:rsid w:val="00B0479E"/>
    <w:rsid w:val="00B048EF"/>
    <w:rsid w:val="00B05B53"/>
    <w:rsid w:val="00B0643B"/>
    <w:rsid w:val="00B065CB"/>
    <w:rsid w:val="00B068ED"/>
    <w:rsid w:val="00B1013D"/>
    <w:rsid w:val="00B1077E"/>
    <w:rsid w:val="00B114FD"/>
    <w:rsid w:val="00B1161B"/>
    <w:rsid w:val="00B119AC"/>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656C"/>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2155"/>
    <w:rsid w:val="00B534D5"/>
    <w:rsid w:val="00B536E6"/>
    <w:rsid w:val="00B54876"/>
    <w:rsid w:val="00B56945"/>
    <w:rsid w:val="00B56E7A"/>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687C"/>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37E9"/>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845"/>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0654"/>
    <w:rsid w:val="00C71045"/>
    <w:rsid w:val="00C711D3"/>
    <w:rsid w:val="00C72EC1"/>
    <w:rsid w:val="00C72FA9"/>
    <w:rsid w:val="00C73FAD"/>
    <w:rsid w:val="00C74636"/>
    <w:rsid w:val="00C74D69"/>
    <w:rsid w:val="00C75407"/>
    <w:rsid w:val="00C75536"/>
    <w:rsid w:val="00C758F8"/>
    <w:rsid w:val="00C76B74"/>
    <w:rsid w:val="00C81DE5"/>
    <w:rsid w:val="00C82860"/>
    <w:rsid w:val="00C837C9"/>
    <w:rsid w:val="00C8396C"/>
    <w:rsid w:val="00C84F1D"/>
    <w:rsid w:val="00C85DD9"/>
    <w:rsid w:val="00C85F5A"/>
    <w:rsid w:val="00C8618D"/>
    <w:rsid w:val="00C86ADF"/>
    <w:rsid w:val="00C870C0"/>
    <w:rsid w:val="00C87692"/>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08A"/>
    <w:rsid w:val="00CB76AA"/>
    <w:rsid w:val="00CB790E"/>
    <w:rsid w:val="00CC1407"/>
    <w:rsid w:val="00CC450D"/>
    <w:rsid w:val="00CC4FFC"/>
    <w:rsid w:val="00CC5328"/>
    <w:rsid w:val="00CC72D1"/>
    <w:rsid w:val="00CC77F9"/>
    <w:rsid w:val="00CC7CC0"/>
    <w:rsid w:val="00CD0735"/>
    <w:rsid w:val="00CD0DEB"/>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6C1"/>
    <w:rsid w:val="00D5005B"/>
    <w:rsid w:val="00D510DA"/>
    <w:rsid w:val="00D53F8D"/>
    <w:rsid w:val="00D547E6"/>
    <w:rsid w:val="00D56EA7"/>
    <w:rsid w:val="00D57AD5"/>
    <w:rsid w:val="00D57B4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BCA"/>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42F"/>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075"/>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76B"/>
    <w:rsid w:val="00EA38F1"/>
    <w:rsid w:val="00EA4912"/>
    <w:rsid w:val="00EA4E12"/>
    <w:rsid w:val="00EA5D38"/>
    <w:rsid w:val="00EA65D9"/>
    <w:rsid w:val="00EA67B3"/>
    <w:rsid w:val="00EA734B"/>
    <w:rsid w:val="00EA7A7E"/>
    <w:rsid w:val="00EB2081"/>
    <w:rsid w:val="00EB2852"/>
    <w:rsid w:val="00EB2E05"/>
    <w:rsid w:val="00EB348F"/>
    <w:rsid w:val="00EB39B5"/>
    <w:rsid w:val="00EB53E4"/>
    <w:rsid w:val="00EB55BA"/>
    <w:rsid w:val="00EB7AF0"/>
    <w:rsid w:val="00EB7FED"/>
    <w:rsid w:val="00EC0583"/>
    <w:rsid w:val="00EC0612"/>
    <w:rsid w:val="00EC079D"/>
    <w:rsid w:val="00EC0AB2"/>
    <w:rsid w:val="00EC24B4"/>
    <w:rsid w:val="00EC2AE7"/>
    <w:rsid w:val="00EC2EDF"/>
    <w:rsid w:val="00EC42A1"/>
    <w:rsid w:val="00EC523C"/>
    <w:rsid w:val="00EC675B"/>
    <w:rsid w:val="00EC6BF4"/>
    <w:rsid w:val="00EC7098"/>
    <w:rsid w:val="00ED095F"/>
    <w:rsid w:val="00ED2959"/>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7A1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66C8"/>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2D57"/>
    <w:rsid w:val="00F33485"/>
    <w:rsid w:val="00F3585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10D"/>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2CA"/>
    <w:rsid w:val="00F7455B"/>
    <w:rsid w:val="00F746AC"/>
    <w:rsid w:val="00F74B9D"/>
    <w:rsid w:val="00F75058"/>
    <w:rsid w:val="00F75726"/>
    <w:rsid w:val="00F7660F"/>
    <w:rsid w:val="00F768AD"/>
    <w:rsid w:val="00F76B75"/>
    <w:rsid w:val="00F774EE"/>
    <w:rsid w:val="00F77EB8"/>
    <w:rsid w:val="00F8493A"/>
    <w:rsid w:val="00F85D32"/>
    <w:rsid w:val="00F86AAC"/>
    <w:rsid w:val="00F86D14"/>
    <w:rsid w:val="00F87716"/>
    <w:rsid w:val="00F87E26"/>
    <w:rsid w:val="00F909A2"/>
    <w:rsid w:val="00F90B02"/>
    <w:rsid w:val="00F921FF"/>
    <w:rsid w:val="00F9442E"/>
    <w:rsid w:val="00F944F3"/>
    <w:rsid w:val="00F946F6"/>
    <w:rsid w:val="00F94F26"/>
    <w:rsid w:val="00F9516C"/>
    <w:rsid w:val="00F9576A"/>
    <w:rsid w:val="00F961C9"/>
    <w:rsid w:val="00F96F02"/>
    <w:rsid w:val="00F973EA"/>
    <w:rsid w:val="00F97EEE"/>
    <w:rsid w:val="00FA0392"/>
    <w:rsid w:val="00FA0CF8"/>
    <w:rsid w:val="00FA119A"/>
    <w:rsid w:val="00FA2D54"/>
    <w:rsid w:val="00FA38D8"/>
    <w:rsid w:val="00FA4B8D"/>
    <w:rsid w:val="00FA6DED"/>
    <w:rsid w:val="00FA76DF"/>
    <w:rsid w:val="00FA78EA"/>
    <w:rsid w:val="00FB59BB"/>
    <w:rsid w:val="00FB5A70"/>
    <w:rsid w:val="00FB7B2B"/>
    <w:rsid w:val="00FB7E96"/>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5998"/>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24152330/https://curia.europa.eu/juris/document/document.jsf?cid=15434398&amp;dir=&amp;docid=296857&amp;doclang=EN&amp;mode=req&amp;occ=first%E2%88%82%3D1&amp;pageIndex=0&amp;text="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4141609/https://eur-lex.europa.eu/eli/dir/2019/1161/oj/eng"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ec.europa.eu/commission/presscorner/detail/pt/ip_23_1946"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eader" Target="header2.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113</Pages>
  <Words>23455</Words>
  <Characters>133699</Characters>
  <Application>Microsoft Office Word</Application>
  <DocSecurity>0</DocSecurity>
  <Lines>1114</Lines>
  <Paragraphs>313</Paragraphs>
  <ScaleCrop>false</ScaleCrop>
  <Company/>
  <LinksUpToDate>false</LinksUpToDate>
  <CharactersWithSpaces>156841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99</cp:revision>
  <cp:lastPrinted>2025-03-21T00:14:00Z</cp:lastPrinted>
  <dcterms:created xsi:type="dcterms:W3CDTF">2025-06-19T12:17:00Z</dcterms:created>
  <dcterms:modified xsi:type="dcterms:W3CDTF">2025-07-25T15:34:00Z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